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1AEA" w14:textId="77777777" w:rsidR="00584EAD" w:rsidRPr="00CE03BE" w:rsidRDefault="00584EAD" w:rsidP="00677B21">
      <w:pPr>
        <w:pStyle w:val="Titel"/>
        <w:spacing w:before="0" w:afterLines="200" w:after="480"/>
        <w:rPr>
          <w:lang w:val="en-GB"/>
        </w:rPr>
      </w:pPr>
      <w:r w:rsidRPr="00CE03BE">
        <w:rPr>
          <w:lang w:val="en-GB"/>
        </w:rPr>
        <w:t>Press release</w:t>
      </w:r>
    </w:p>
    <w:p w14:paraId="75BE6CE1" w14:textId="095CF365" w:rsidR="00BC4F56" w:rsidRPr="00CE03BE" w:rsidRDefault="007A06F7" w:rsidP="00BC4F56">
      <w:pPr>
        <w:pStyle w:val="berschrift2"/>
        <w:rPr>
          <w:lang w:val="en-GB"/>
        </w:rPr>
      </w:pPr>
      <w:r w:rsidRPr="00CE03BE">
        <w:rPr>
          <w:szCs w:val="28"/>
          <w:lang w:val="en-GB"/>
        </w:rPr>
        <w:t>Koenig &amp; Bauer publishes its H1 report 2020</w:t>
      </w:r>
    </w:p>
    <w:p w14:paraId="672ED788" w14:textId="77777777" w:rsidR="000D6614" w:rsidRPr="00BC4F56" w:rsidRDefault="000D6614" w:rsidP="000D6614">
      <w:pPr>
        <w:spacing w:after="240"/>
      </w:pPr>
    </w:p>
    <w:p w14:paraId="7B84AC83" w14:textId="51F3AF07" w:rsidR="002F6CB3" w:rsidRPr="00CE03BE" w:rsidRDefault="000D6614" w:rsidP="00CE03BE">
      <w:pPr>
        <w:pStyle w:val="Untertitel"/>
        <w:spacing w:after="240"/>
        <w:ind w:right="281"/>
        <w:rPr>
          <w:szCs w:val="24"/>
          <w:lang w:val="en-GB"/>
        </w:rPr>
      </w:pPr>
      <w:r w:rsidRPr="000D6614">
        <w:rPr>
          <w:szCs w:val="24"/>
          <w:lang w:val="en-GB"/>
        </w:rPr>
        <w:t xml:space="preserve">Significant </w:t>
      </w:r>
      <w:r>
        <w:rPr>
          <w:szCs w:val="24"/>
          <w:lang w:val="en-GB"/>
        </w:rPr>
        <w:t xml:space="preserve">earnings </w:t>
      </w:r>
      <w:r w:rsidRPr="000D6614">
        <w:rPr>
          <w:szCs w:val="24"/>
          <w:lang w:val="en-GB"/>
        </w:rPr>
        <w:t xml:space="preserve">improvement in Q2 compared to </w:t>
      </w:r>
      <w:r>
        <w:rPr>
          <w:szCs w:val="24"/>
          <w:lang w:val="en-GB"/>
        </w:rPr>
        <w:t>Q1</w:t>
      </w:r>
    </w:p>
    <w:p w14:paraId="2BDB18EC" w14:textId="6406DCAD" w:rsidR="002F6CB3" w:rsidRPr="00CE03BE" w:rsidRDefault="005B4175" w:rsidP="00881C6B">
      <w:pPr>
        <w:pStyle w:val="Aufzhlung"/>
        <w:spacing w:after="240"/>
        <w:rPr>
          <w:lang w:val="en-GB"/>
        </w:rPr>
      </w:pPr>
      <w:r w:rsidRPr="00CE03BE">
        <w:rPr>
          <w:lang w:val="en-GB"/>
        </w:rPr>
        <w:t>Delivery and pandemic-related revenue decline by 20.1%</w:t>
      </w:r>
    </w:p>
    <w:p w14:paraId="0F57EEFA" w14:textId="23D7E5D7" w:rsidR="002F6CB3" w:rsidRPr="00CE03BE" w:rsidRDefault="00881C6B" w:rsidP="002F6CB3">
      <w:pPr>
        <w:pStyle w:val="Aufzhlung"/>
        <w:spacing w:after="240"/>
        <w:rPr>
          <w:lang w:val="en-GB"/>
        </w:rPr>
      </w:pPr>
      <w:r w:rsidRPr="00CE03BE">
        <w:rPr>
          <w:lang w:val="en-GB"/>
        </w:rPr>
        <w:t xml:space="preserve">Order intake 16.2% below prior year, </w:t>
      </w:r>
      <w:r w:rsidR="005B4175">
        <w:rPr>
          <w:lang w:val="en-GB"/>
        </w:rPr>
        <w:t>considerably</w:t>
      </w:r>
      <w:r w:rsidRPr="00CE03BE">
        <w:rPr>
          <w:lang w:val="en-GB"/>
        </w:rPr>
        <w:t xml:space="preserve"> better than industry trend</w:t>
      </w:r>
    </w:p>
    <w:p w14:paraId="3B77AD1C" w14:textId="4711054B" w:rsidR="002F6CB3" w:rsidRPr="00CE03BE" w:rsidRDefault="005B4175" w:rsidP="00881C6B">
      <w:pPr>
        <w:pStyle w:val="Aufzhlung"/>
        <w:spacing w:after="240"/>
        <w:rPr>
          <w:lang w:val="en-GB"/>
        </w:rPr>
      </w:pPr>
      <w:r w:rsidRPr="00CE03BE">
        <w:rPr>
          <w:lang w:val="en-GB"/>
        </w:rPr>
        <w:t>Earnings signific</w:t>
      </w:r>
      <w:r w:rsidR="00881C6B" w:rsidRPr="00CE03BE">
        <w:rPr>
          <w:lang w:val="en-GB"/>
        </w:rPr>
        <w:t>antly impacted by low revenue</w:t>
      </w:r>
    </w:p>
    <w:p w14:paraId="7938DF2A" w14:textId="106D4CBA" w:rsidR="002F6CB3" w:rsidRPr="00CE03BE" w:rsidRDefault="005B4175" w:rsidP="00D54C21">
      <w:pPr>
        <w:pStyle w:val="Aufzhlung"/>
        <w:spacing w:after="240"/>
        <w:rPr>
          <w:lang w:val="en-GB"/>
        </w:rPr>
      </w:pPr>
      <w:r w:rsidRPr="00CE03BE">
        <w:rPr>
          <w:lang w:val="en-GB"/>
        </w:rPr>
        <w:t xml:space="preserve">On the cost side, massively counteracted with short-time working from 1 April 2020 </w:t>
      </w:r>
      <w:r w:rsidRPr="00CE03BE">
        <w:rPr>
          <w:lang w:val="en-GB"/>
        </w:rPr>
        <w:br/>
        <w:t xml:space="preserve">and other measures </w:t>
      </w:r>
    </w:p>
    <w:p w14:paraId="575C4FC2" w14:textId="1B6BBC46" w:rsidR="002F6CB3" w:rsidRPr="00CE03BE" w:rsidRDefault="00D54C21" w:rsidP="002F6CB3">
      <w:pPr>
        <w:pStyle w:val="Aufzhlung"/>
        <w:spacing w:after="240"/>
        <w:rPr>
          <w:lang w:val="en-GB"/>
        </w:rPr>
      </w:pPr>
      <w:r w:rsidRPr="00CE03BE">
        <w:rPr>
          <w:lang w:val="en-GB"/>
        </w:rPr>
        <w:t xml:space="preserve">Equity ratio of </w:t>
      </w:r>
      <w:r w:rsidR="002F6CB3" w:rsidRPr="00CE03BE">
        <w:rPr>
          <w:lang w:val="en-GB"/>
        </w:rPr>
        <w:t>32</w:t>
      </w:r>
      <w:r w:rsidRPr="00CE03BE">
        <w:rPr>
          <w:lang w:val="en-GB"/>
        </w:rPr>
        <w:t>.</w:t>
      </w:r>
      <w:r w:rsidR="002F6CB3" w:rsidRPr="00CE03BE">
        <w:rPr>
          <w:lang w:val="en-GB"/>
        </w:rPr>
        <w:t>2%</w:t>
      </w:r>
    </w:p>
    <w:p w14:paraId="1A9A6B4C" w14:textId="13FF11A3" w:rsidR="002F6CB3" w:rsidRPr="00CE03BE" w:rsidRDefault="00A44634" w:rsidP="00AA53DB">
      <w:pPr>
        <w:spacing w:after="240"/>
        <w:ind w:right="423"/>
        <w:rPr>
          <w:bCs/>
          <w:lang w:val="en-GB"/>
        </w:rPr>
      </w:pPr>
      <w:r w:rsidRPr="00CE03BE">
        <w:rPr>
          <w:lang w:val="en-GB"/>
        </w:rPr>
        <w:t xml:space="preserve">Würzburg, </w:t>
      </w:r>
      <w:r w:rsidR="007A06F7" w:rsidRPr="00CE03BE">
        <w:rPr>
          <w:lang w:val="en-GB"/>
        </w:rPr>
        <w:t>29</w:t>
      </w:r>
      <w:r w:rsidR="001E7A4D" w:rsidRPr="00CE03BE">
        <w:rPr>
          <w:lang w:val="en-GB"/>
        </w:rPr>
        <w:t xml:space="preserve"> </w:t>
      </w:r>
      <w:r w:rsidR="007A06F7" w:rsidRPr="00CE03BE">
        <w:rPr>
          <w:lang w:val="en-GB"/>
        </w:rPr>
        <w:t>July</w:t>
      </w:r>
      <w:r w:rsidR="001E7A4D" w:rsidRPr="00CE03BE">
        <w:rPr>
          <w:lang w:val="en-GB"/>
        </w:rPr>
        <w:t xml:space="preserve"> </w:t>
      </w:r>
      <w:r w:rsidR="007A06F7" w:rsidRPr="00CE03BE">
        <w:rPr>
          <w:lang w:val="en-GB"/>
        </w:rPr>
        <w:t>2020</w:t>
      </w:r>
      <w:r w:rsidRPr="00CE03BE">
        <w:rPr>
          <w:lang w:val="en-GB"/>
        </w:rPr>
        <w:br/>
      </w:r>
      <w:r w:rsidR="00D54C21" w:rsidRPr="00CE03BE">
        <w:rPr>
          <w:color w:val="000000"/>
          <w:shd w:val="clear" w:color="auto" w:fill="FFFFFF"/>
          <w:lang w:val="en-GB"/>
        </w:rPr>
        <w:t xml:space="preserve">In addition to the general investment restraint on the part of many customers in the corona crisis, travel bans, lockdowns and other restrictions significantly affected the business figures of the Koenig &amp; Bauer </w:t>
      </w:r>
      <w:r w:rsidR="00AA53DB">
        <w:rPr>
          <w:color w:val="000000"/>
          <w:shd w:val="clear" w:color="auto" w:fill="FFFFFF"/>
          <w:lang w:val="en-GB"/>
        </w:rPr>
        <w:t>g</w:t>
      </w:r>
      <w:r w:rsidR="00D54C21" w:rsidRPr="00CE03BE">
        <w:rPr>
          <w:color w:val="000000"/>
          <w:shd w:val="clear" w:color="auto" w:fill="FFFFFF"/>
          <w:lang w:val="en-GB"/>
        </w:rPr>
        <w:t xml:space="preserve">roup in the first half of 2020. The restrictions </w:t>
      </w:r>
      <w:r w:rsidR="000D6614" w:rsidRPr="000D6614">
        <w:rPr>
          <w:color w:val="000000"/>
          <w:shd w:val="clear" w:color="auto" w:fill="FFFFFF"/>
          <w:lang w:val="en-GB"/>
        </w:rPr>
        <w:t>caused by the Covid</w:t>
      </w:r>
      <w:r w:rsidR="000D6614">
        <w:rPr>
          <w:color w:val="000000"/>
          <w:shd w:val="clear" w:color="auto" w:fill="FFFFFF"/>
          <w:lang w:val="en-GB"/>
        </w:rPr>
        <w:t>-</w:t>
      </w:r>
      <w:r w:rsidR="000D6614" w:rsidRPr="000D6614">
        <w:rPr>
          <w:color w:val="000000"/>
          <w:shd w:val="clear" w:color="auto" w:fill="FFFFFF"/>
          <w:lang w:val="en-GB"/>
        </w:rPr>
        <w:t>19 pandemic</w:t>
      </w:r>
      <w:r w:rsidR="000D6614">
        <w:rPr>
          <w:color w:val="000000"/>
          <w:shd w:val="clear" w:color="auto" w:fill="FFFFFF"/>
          <w:lang w:val="en-GB"/>
        </w:rPr>
        <w:t xml:space="preserve"> </w:t>
      </w:r>
      <w:r w:rsidR="00D54C21" w:rsidRPr="00CE03BE">
        <w:rPr>
          <w:color w:val="000000"/>
          <w:shd w:val="clear" w:color="auto" w:fill="FFFFFF"/>
          <w:lang w:val="en-GB"/>
        </w:rPr>
        <w:t>particularly impeded deliveries of the presses to the international customers as well as the worl</w:t>
      </w:r>
      <w:r w:rsidR="00D54C21" w:rsidRPr="00CE03BE">
        <w:rPr>
          <w:color w:val="000000"/>
          <w:shd w:val="clear" w:color="auto" w:fill="FFFFFF"/>
          <w:lang w:val="en-GB"/>
        </w:rPr>
        <w:t>d</w:t>
      </w:r>
      <w:r w:rsidR="00D54C21" w:rsidRPr="00CE03BE">
        <w:rPr>
          <w:color w:val="000000"/>
          <w:shd w:val="clear" w:color="auto" w:fill="FFFFFF"/>
          <w:lang w:val="en-GB"/>
        </w:rPr>
        <w:t>wide deployment of the a</w:t>
      </w:r>
      <w:r w:rsidR="00D54C21" w:rsidRPr="00CE03BE">
        <w:rPr>
          <w:color w:val="000000"/>
          <w:shd w:val="clear" w:color="auto" w:fill="FFFFFF"/>
          <w:lang w:val="en-GB"/>
        </w:rPr>
        <w:t>s</w:t>
      </w:r>
      <w:r w:rsidR="00D54C21" w:rsidRPr="00CE03BE">
        <w:rPr>
          <w:color w:val="000000"/>
          <w:shd w:val="clear" w:color="auto" w:fill="FFFFFF"/>
          <w:lang w:val="en-GB"/>
        </w:rPr>
        <w:t>sembly staff and service technicians. At €480.2m, orders were 16.2% lower than in the previous year</w:t>
      </w:r>
      <w:r w:rsidR="00ED090B" w:rsidRPr="00CE03BE">
        <w:rPr>
          <w:color w:val="000000"/>
          <w:shd w:val="clear" w:color="auto" w:fill="FFFFFF"/>
          <w:lang w:val="en-GB"/>
        </w:rPr>
        <w:t>,</w:t>
      </w:r>
      <w:r w:rsidR="00D54C21" w:rsidRPr="00CE03BE">
        <w:rPr>
          <w:color w:val="000000"/>
          <w:shd w:val="clear" w:color="auto" w:fill="FFFFFF"/>
          <w:lang w:val="en-GB"/>
        </w:rPr>
        <w:t xml:space="preserve"> </w:t>
      </w:r>
      <w:r w:rsidR="00ED090B" w:rsidRPr="00CE03BE">
        <w:rPr>
          <w:color w:val="000000"/>
          <w:shd w:val="clear" w:color="auto" w:fill="FFFFFF"/>
          <w:lang w:val="en-GB"/>
        </w:rPr>
        <w:t>although this was better than the sector trend for printing presses published by indu</w:t>
      </w:r>
      <w:r w:rsidR="00ED090B" w:rsidRPr="00CE03BE">
        <w:rPr>
          <w:color w:val="000000"/>
          <w:shd w:val="clear" w:color="auto" w:fill="FFFFFF"/>
          <w:lang w:val="en-GB"/>
        </w:rPr>
        <w:t>s</w:t>
      </w:r>
      <w:r w:rsidR="00ED090B" w:rsidRPr="00CE03BE">
        <w:rPr>
          <w:color w:val="000000"/>
          <w:shd w:val="clear" w:color="auto" w:fill="FFFFFF"/>
          <w:lang w:val="en-GB"/>
        </w:rPr>
        <w:t>try association VDMA</w:t>
      </w:r>
      <w:r w:rsidR="002F6CB3" w:rsidRPr="00CE03BE">
        <w:rPr>
          <w:color w:val="000000"/>
          <w:shd w:val="clear" w:color="auto" w:fill="FFFFFF"/>
          <w:lang w:val="en-GB"/>
        </w:rPr>
        <w:t xml:space="preserve">. </w:t>
      </w:r>
      <w:r w:rsidR="00ED090B" w:rsidRPr="00CE03BE">
        <w:rPr>
          <w:color w:val="000000"/>
          <w:shd w:val="clear" w:color="auto" w:fill="FFFFFF"/>
          <w:lang w:val="en-GB"/>
        </w:rPr>
        <w:t>At €404.5m, revenue fell short of the previous year by 20.1%. On the cost side, massive measures were taken to address the effects of the crisis, intr</w:t>
      </w:r>
      <w:r w:rsidR="00ED090B" w:rsidRPr="00CE03BE">
        <w:rPr>
          <w:color w:val="000000"/>
          <w:shd w:val="clear" w:color="auto" w:fill="FFFFFF"/>
          <w:lang w:val="en-GB"/>
        </w:rPr>
        <w:t>o</w:t>
      </w:r>
      <w:r w:rsidR="00ED090B" w:rsidRPr="00CE03BE">
        <w:rPr>
          <w:color w:val="000000"/>
          <w:shd w:val="clear" w:color="auto" w:fill="FFFFFF"/>
          <w:lang w:val="en-GB"/>
        </w:rPr>
        <w:t>ducing short-time wor</w:t>
      </w:r>
      <w:r w:rsidR="00ED090B" w:rsidRPr="00CE03BE">
        <w:rPr>
          <w:color w:val="000000"/>
          <w:shd w:val="clear" w:color="auto" w:fill="FFFFFF"/>
          <w:lang w:val="en-GB"/>
        </w:rPr>
        <w:t>k</w:t>
      </w:r>
      <w:r w:rsidR="00ED090B" w:rsidRPr="00CE03BE">
        <w:rPr>
          <w:color w:val="000000"/>
          <w:shd w:val="clear" w:color="auto" w:fill="FFFFFF"/>
          <w:lang w:val="en-GB"/>
        </w:rPr>
        <w:t xml:space="preserve">ing from 1 April 2020 alongside other steps. EBIT improved substantially from –€34.9m in Q1 to –€6m in Q2. For the first half of the year, EBIT was –€40.9m after €0.6m in the previous year. </w:t>
      </w:r>
      <w:r w:rsidR="00ED090B" w:rsidRPr="00CE03BE">
        <w:rPr>
          <w:lang w:val="en-GB"/>
        </w:rPr>
        <w:t xml:space="preserve">At </w:t>
      </w:r>
      <w:r w:rsidR="00ED090B" w:rsidRPr="00CE03BE">
        <w:rPr>
          <w:rFonts w:ascii="Arial" w:hAnsi="Arial"/>
          <w:szCs w:val="20"/>
          <w:lang w:val="en-GB"/>
        </w:rPr>
        <w:t>–</w:t>
      </w:r>
      <w:r w:rsidR="00ED090B" w:rsidRPr="00CE03BE">
        <w:rPr>
          <w:lang w:val="en-GB"/>
        </w:rPr>
        <w:t xml:space="preserve">€44.2m, net earnings as of 30 June corresponds to earnings per share of </w:t>
      </w:r>
      <w:r w:rsidR="00ED090B" w:rsidRPr="00CE03BE">
        <w:rPr>
          <w:rFonts w:ascii="Arial" w:hAnsi="Arial"/>
          <w:szCs w:val="20"/>
          <w:lang w:val="en-GB"/>
        </w:rPr>
        <w:t>–</w:t>
      </w:r>
      <w:r w:rsidR="00ED090B" w:rsidRPr="00CE03BE">
        <w:rPr>
          <w:lang w:val="en-GB"/>
        </w:rPr>
        <w:t>€2.68.</w:t>
      </w:r>
    </w:p>
    <w:p w14:paraId="5D1F572D" w14:textId="7B316744" w:rsidR="004A6B04" w:rsidRPr="00CE03BE" w:rsidRDefault="00CE03BE" w:rsidP="00ED090B">
      <w:pPr>
        <w:spacing w:after="240"/>
        <w:ind w:right="139"/>
        <w:rPr>
          <w:lang w:val="en-GB"/>
        </w:rPr>
      </w:pPr>
      <w:r w:rsidRPr="00CE03BE">
        <w:rPr>
          <w:lang w:val="en-GB"/>
        </w:rPr>
        <w:t xml:space="preserve">Despite substantially lower trade receivables and higher customer prepayments, the half-year loss and the increase in inventories had major impacts on </w:t>
      </w:r>
      <w:r w:rsidRPr="00CE03BE">
        <w:rPr>
          <w:bCs/>
          <w:lang w:val="en-GB"/>
        </w:rPr>
        <w:t>cash flows from operating activities</w:t>
      </w:r>
      <w:r w:rsidRPr="00CE03BE">
        <w:rPr>
          <w:lang w:val="en-GB"/>
        </w:rPr>
        <w:t>, which came to –€68.6m (2019: –€96.5m). The equity ratio stood at 32.2% at the end of June 2020.</w:t>
      </w:r>
    </w:p>
    <w:p w14:paraId="652E439C" w14:textId="2AD5A874" w:rsidR="00AD1C4B" w:rsidRPr="00CE03BE" w:rsidRDefault="007A06F7" w:rsidP="00AD1C4B">
      <w:pPr>
        <w:pStyle w:val="berschrift3"/>
        <w:rPr>
          <w:lang w:val="en-GB"/>
        </w:rPr>
      </w:pPr>
      <w:r w:rsidRPr="00CE03BE">
        <w:rPr>
          <w:bCs/>
          <w:lang w:val="en-GB"/>
        </w:rPr>
        <w:t>Segment performance</w:t>
      </w:r>
    </w:p>
    <w:p w14:paraId="4F025783" w14:textId="3B545782" w:rsidR="00A44634" w:rsidRPr="00CE03BE" w:rsidRDefault="002F6CB3" w:rsidP="00F53973">
      <w:pPr>
        <w:spacing w:after="240"/>
        <w:ind w:right="281"/>
        <w:rPr>
          <w:szCs w:val="20"/>
          <w:lang w:val="en-GB"/>
        </w:rPr>
      </w:pPr>
      <w:r w:rsidRPr="00CE03BE">
        <w:rPr>
          <w:rFonts w:ascii="Arial" w:hAnsi="Arial" w:cs="Arial"/>
          <w:szCs w:val="20"/>
          <w:lang w:val="en-GB"/>
        </w:rPr>
        <w:t xml:space="preserve">Despite the substantial gains with large-format sheetfed offset presses and folder gluers, order intake in the </w:t>
      </w:r>
      <w:r w:rsidRPr="00CE03BE">
        <w:rPr>
          <w:rFonts w:ascii="Arial" w:hAnsi="Arial" w:cs="Arial"/>
          <w:bCs/>
          <w:szCs w:val="20"/>
          <w:lang w:val="en-GB"/>
        </w:rPr>
        <w:t>Sheetfed</w:t>
      </w:r>
      <w:r w:rsidRPr="00CE03BE">
        <w:rPr>
          <w:rFonts w:ascii="Arial" w:hAnsi="Arial" w:cs="Arial"/>
          <w:szCs w:val="20"/>
          <w:lang w:val="en-GB"/>
        </w:rPr>
        <w:t xml:space="preserve"> segment declined by 12.9% over the previous year’s figure of €330.6m to €288m due to lower orders for medium</w:t>
      </w:r>
      <w:r w:rsidR="00AA53DB">
        <w:rPr>
          <w:rFonts w:ascii="Arial" w:hAnsi="Arial" w:cs="Arial"/>
          <w:szCs w:val="20"/>
          <w:lang w:val="en-GB"/>
        </w:rPr>
        <w:t xml:space="preserve"> and half</w:t>
      </w:r>
      <w:r w:rsidRPr="00CE03BE">
        <w:rPr>
          <w:rFonts w:ascii="Arial" w:hAnsi="Arial" w:cs="Arial"/>
          <w:szCs w:val="20"/>
          <w:lang w:val="en-GB"/>
        </w:rPr>
        <w:t>-format presses. Revenue of €205.5m was 20.6% lo</w:t>
      </w:r>
      <w:r w:rsidRPr="00CE03BE">
        <w:rPr>
          <w:rFonts w:ascii="Arial" w:hAnsi="Arial" w:cs="Arial"/>
          <w:szCs w:val="20"/>
          <w:lang w:val="en-GB"/>
        </w:rPr>
        <w:t>w</w:t>
      </w:r>
      <w:r w:rsidRPr="00CE03BE">
        <w:rPr>
          <w:rFonts w:ascii="Arial" w:hAnsi="Arial" w:cs="Arial"/>
          <w:szCs w:val="20"/>
          <w:lang w:val="en-GB"/>
        </w:rPr>
        <w:t>er than the previous year’s figure (€258.9m) for delivery-related reasons and due to the effects of the pandemic. With the book-to-bill ratio coming to 1.4, order backlog rose from €261.6m to €265.9m. Due to lower revenue, EBIT of –€17.4m was below the previous year (–€1.3m).</w:t>
      </w:r>
    </w:p>
    <w:p w14:paraId="66EFCEFC" w14:textId="5BA36F3C" w:rsidR="00A44634" w:rsidRPr="00CE03BE" w:rsidRDefault="002F6CB3" w:rsidP="007A06F7">
      <w:pPr>
        <w:spacing w:after="240"/>
        <w:rPr>
          <w:szCs w:val="20"/>
          <w:lang w:val="en-GB"/>
        </w:rPr>
      </w:pPr>
      <w:r w:rsidRPr="00CE03BE">
        <w:rPr>
          <w:rFonts w:ascii="Arial" w:hAnsi="Arial" w:cs="Arial"/>
          <w:szCs w:val="20"/>
          <w:lang w:val="en-GB"/>
        </w:rPr>
        <w:t xml:space="preserve">Order intake in the </w:t>
      </w:r>
      <w:r w:rsidRPr="00CE03BE">
        <w:rPr>
          <w:rFonts w:ascii="Arial" w:hAnsi="Arial" w:cs="Arial"/>
          <w:bCs/>
          <w:szCs w:val="20"/>
          <w:lang w:val="en-GB"/>
        </w:rPr>
        <w:t xml:space="preserve">Digital &amp; Web </w:t>
      </w:r>
      <w:r w:rsidRPr="00CE03BE">
        <w:rPr>
          <w:rFonts w:ascii="Arial" w:hAnsi="Arial" w:cs="Arial"/>
          <w:szCs w:val="20"/>
          <w:lang w:val="en-GB"/>
        </w:rPr>
        <w:t>segment came to €56.7m, down from €89.9m in the previous year, due to lower orders in the web offset press business and for flexible packaging printing. At €51.6m, revenue was down on the previous year (€64.5m). The order backlog contracted from €111.2m to €71.2m. The lower revenue had a significant impact on the EBIT of –€12.1m (2019: –€10.8m).</w:t>
      </w:r>
    </w:p>
    <w:p w14:paraId="18E47EA1" w14:textId="754EB7CC" w:rsidR="00A44634" w:rsidRPr="00CE03BE" w:rsidRDefault="002F6CB3" w:rsidP="00F53973">
      <w:pPr>
        <w:spacing w:after="240"/>
        <w:ind w:right="139"/>
        <w:rPr>
          <w:szCs w:val="20"/>
          <w:lang w:val="en-GB"/>
        </w:rPr>
      </w:pPr>
      <w:r w:rsidRPr="00CE03BE">
        <w:rPr>
          <w:rFonts w:ascii="Arial" w:hAnsi="Arial" w:cs="Arial"/>
          <w:szCs w:val="20"/>
          <w:lang w:val="en-GB"/>
        </w:rPr>
        <w:lastRenderedPageBreak/>
        <w:t xml:space="preserve">The decline in order intake in the </w:t>
      </w:r>
      <w:r w:rsidRPr="00CE03BE">
        <w:rPr>
          <w:rFonts w:ascii="Arial" w:hAnsi="Arial" w:cs="Arial"/>
          <w:bCs/>
          <w:szCs w:val="20"/>
          <w:lang w:val="en-GB"/>
        </w:rPr>
        <w:t>Special</w:t>
      </w:r>
      <w:r w:rsidRPr="00CE03BE">
        <w:rPr>
          <w:rFonts w:ascii="Arial" w:hAnsi="Arial" w:cs="Arial"/>
          <w:szCs w:val="20"/>
          <w:lang w:val="en-GB"/>
        </w:rPr>
        <w:t xml:space="preserve"> segment from €175.3m to €150.7m reflects lower orders for security printing, marking and coding as well as glass direct printing. In metal decorating, there was an increase in new business. Revenue fell from €204.9m to €160.1m. The order backlog reached €278.1m after €316m in the previous year. After €6.3m in the previous year, EBIT came to –€10.3m in the first half of 2020 for revenue-related reasons.</w:t>
      </w:r>
    </w:p>
    <w:p w14:paraId="7A18D2F2" w14:textId="779320AF" w:rsidR="00A44634" w:rsidRPr="00CE03BE" w:rsidRDefault="007A06F7" w:rsidP="00A44634">
      <w:pPr>
        <w:pStyle w:val="berschrift3"/>
        <w:rPr>
          <w:lang w:val="en-GB"/>
        </w:rPr>
      </w:pPr>
      <w:r w:rsidRPr="00CE03BE">
        <w:rPr>
          <w:lang w:val="en-GB"/>
        </w:rPr>
        <w:t>Outlook</w:t>
      </w:r>
    </w:p>
    <w:p w14:paraId="256188E0" w14:textId="6599EAD2" w:rsidR="00A44634" w:rsidRPr="00CE03BE" w:rsidRDefault="003C27FE" w:rsidP="004B5DBB">
      <w:pPr>
        <w:spacing w:after="240"/>
        <w:ind w:right="-2"/>
        <w:rPr>
          <w:lang w:val="en-GB"/>
        </w:rPr>
      </w:pPr>
      <w:r w:rsidRPr="00CE03BE">
        <w:rPr>
          <w:lang w:val="en-GB"/>
        </w:rPr>
        <w:t xml:space="preserve">CEO Claus Bolza-Schünemann: </w:t>
      </w:r>
      <w:r w:rsidR="00380994" w:rsidRPr="00CE03BE">
        <w:rPr>
          <w:lang w:val="en-GB"/>
        </w:rPr>
        <w:t>“</w:t>
      </w:r>
      <w:r w:rsidR="00881C6B" w:rsidRPr="00CE03BE">
        <w:rPr>
          <w:lang w:val="en-GB"/>
        </w:rPr>
        <w:t>In view of the high volatility and the great uncertainties surrounding the severity and duration of the coronavirus pandemic and the success of health, economic and mon</w:t>
      </w:r>
      <w:r w:rsidR="00881C6B" w:rsidRPr="00CE03BE">
        <w:rPr>
          <w:lang w:val="en-GB"/>
        </w:rPr>
        <w:t>e</w:t>
      </w:r>
      <w:r w:rsidR="00881C6B" w:rsidRPr="00CE03BE">
        <w:rPr>
          <w:lang w:val="en-GB"/>
        </w:rPr>
        <w:t xml:space="preserve">tary policies, the further global economic development is uncertain. Given these uncertain underlying conditions, it is currently not yet possible to issue any revenue and earnings guidance for 2020 for our group. The management board is working intensively on the Performance 2024 efficiency programme to increase the operating profitability. </w:t>
      </w:r>
      <w:r w:rsidR="00AA53DB" w:rsidRPr="00AA53DB">
        <w:rPr>
          <w:lang w:val="en-GB"/>
        </w:rPr>
        <w:t xml:space="preserve">We have applied for a KfW loan </w:t>
      </w:r>
      <w:r w:rsidR="00AA53DB" w:rsidRPr="001E4EC1">
        <w:rPr>
          <w:color w:val="000000"/>
          <w:lang w:val="en-GB"/>
        </w:rPr>
        <w:t>to supplement the existing sy</w:t>
      </w:r>
      <w:r w:rsidR="00AA53DB" w:rsidRPr="001E4EC1">
        <w:rPr>
          <w:color w:val="000000"/>
          <w:lang w:val="en-GB"/>
        </w:rPr>
        <w:t>n</w:t>
      </w:r>
      <w:r w:rsidR="00AA53DB" w:rsidRPr="001E4EC1">
        <w:rPr>
          <w:color w:val="000000"/>
          <w:lang w:val="en-GB"/>
        </w:rPr>
        <w:t>dicated credit facilities</w:t>
      </w:r>
      <w:r w:rsidR="00AA53DB" w:rsidRPr="00AA53DB">
        <w:rPr>
          <w:lang w:val="en-GB"/>
        </w:rPr>
        <w:t>.</w:t>
      </w:r>
      <w:r w:rsidR="00AA53DB">
        <w:rPr>
          <w:lang w:val="en-GB"/>
        </w:rPr>
        <w:t xml:space="preserve"> </w:t>
      </w:r>
      <w:r w:rsidR="00881C6B" w:rsidRPr="00CE03BE">
        <w:rPr>
          <w:lang w:val="en-GB"/>
        </w:rPr>
        <w:t>In addition, improvements in working capital and cash flow are at the top of the agenda together with the strategic focus on packaging printing and digital services.</w:t>
      </w:r>
      <w:r w:rsidR="00380994" w:rsidRPr="00CE03BE">
        <w:rPr>
          <w:lang w:val="en-GB"/>
        </w:rPr>
        <w:t>”</w:t>
      </w:r>
    </w:p>
    <w:p w14:paraId="3B38D390" w14:textId="77777777" w:rsidR="00BC4F56" w:rsidRPr="00CE03BE" w:rsidRDefault="00A44634" w:rsidP="00BC4F56">
      <w:pPr>
        <w:pStyle w:val="berschrift4"/>
        <w:rPr>
          <w:lang w:val="en-GB"/>
        </w:rPr>
      </w:pPr>
      <w:r w:rsidRPr="00CE03BE">
        <w:rPr>
          <w:lang w:val="en-GB"/>
        </w:rPr>
        <w:t>Photo 1:</w:t>
      </w:r>
    </w:p>
    <w:p w14:paraId="0E191AB3" w14:textId="4AC18BC1" w:rsidR="006B2D44" w:rsidRPr="00CE03BE" w:rsidRDefault="00881C6B" w:rsidP="00BC4F56">
      <w:pPr>
        <w:spacing w:after="240"/>
        <w:rPr>
          <w:lang w:val="en-GB"/>
        </w:rPr>
      </w:pPr>
      <w:r w:rsidRPr="00CE03BE">
        <w:rPr>
          <w:lang w:val="en-GB"/>
        </w:rPr>
        <w:t>The high-end Rapida 106 X press for medium-format sheetfed offset, which was presented at the vi</w:t>
      </w:r>
      <w:r w:rsidRPr="00CE03BE">
        <w:rPr>
          <w:lang w:val="en-GB"/>
        </w:rPr>
        <w:t>r</w:t>
      </w:r>
      <w:r w:rsidRPr="00CE03BE">
        <w:rPr>
          <w:lang w:val="en-GB"/>
        </w:rPr>
        <w:t>tual trade fair Koenig &amp; Bauer Live in June, sets new performance standards in industrial printing</w:t>
      </w:r>
    </w:p>
    <w:p w14:paraId="74220144" w14:textId="77777777" w:rsidR="00A44634" w:rsidRPr="00CE03BE" w:rsidRDefault="00A44634" w:rsidP="00A44634">
      <w:pPr>
        <w:pStyle w:val="berschrift4"/>
        <w:rPr>
          <w:lang w:val="en-GB"/>
        </w:rPr>
      </w:pPr>
      <w:r w:rsidRPr="00CE03BE">
        <w:rPr>
          <w:lang w:val="en-GB"/>
        </w:rPr>
        <w:t>Photo 2:</w:t>
      </w:r>
    </w:p>
    <w:p w14:paraId="49B21A0B" w14:textId="2707B851" w:rsidR="00881C6B" w:rsidRPr="00CE03BE" w:rsidRDefault="00881C6B" w:rsidP="00881C6B">
      <w:pPr>
        <w:spacing w:after="240"/>
        <w:ind w:right="-2"/>
        <w:rPr>
          <w:lang w:val="en-GB"/>
        </w:rPr>
      </w:pPr>
      <w:r w:rsidRPr="00CE03BE">
        <w:rPr>
          <w:lang w:val="en-GB"/>
        </w:rPr>
        <w:t>Revenue and orders for the large-format sheetfed offset presses and folder gluers used in the packa</w:t>
      </w:r>
      <w:r w:rsidRPr="00CE03BE">
        <w:rPr>
          <w:lang w:val="en-GB"/>
        </w:rPr>
        <w:t>g</w:t>
      </w:r>
      <w:r w:rsidRPr="00CE03BE">
        <w:rPr>
          <w:lang w:val="en-GB"/>
        </w:rPr>
        <w:t>ing sector also increased during the crisis</w:t>
      </w:r>
    </w:p>
    <w:p w14:paraId="4BDEC56B" w14:textId="77777777" w:rsidR="005A4642" w:rsidRPr="000D6614" w:rsidRDefault="005A4642" w:rsidP="005A4642">
      <w:pPr>
        <w:pStyle w:val="FlietextStandard"/>
        <w:spacing w:after="240"/>
        <w:rPr>
          <w:rStyle w:val="Hervorhebung"/>
        </w:rPr>
      </w:pPr>
      <w:r w:rsidRPr="000D6614">
        <w:rPr>
          <w:rStyle w:val="Hervorhebung"/>
        </w:rPr>
        <w:t xml:space="preserve">Press </w:t>
      </w:r>
      <w:proofErr w:type="spellStart"/>
      <w:r w:rsidRPr="000D6614">
        <w:rPr>
          <w:rStyle w:val="Hervorhebung"/>
        </w:rPr>
        <w:t>contact</w:t>
      </w:r>
      <w:proofErr w:type="spellEnd"/>
      <w:r w:rsidRPr="000D6614">
        <w:rPr>
          <w:rStyle w:val="Hervorhebung"/>
        </w:rPr>
        <w:t>:</w:t>
      </w:r>
    </w:p>
    <w:p w14:paraId="3C487549" w14:textId="77777777" w:rsidR="005A4642" w:rsidRPr="000D6614" w:rsidRDefault="005A4642" w:rsidP="005A4642">
      <w:pPr>
        <w:pStyle w:val="FlietextStandard"/>
        <w:spacing w:after="240"/>
        <w:rPr>
          <w:rStyle w:val="Hyperlink"/>
          <w:rFonts w:eastAsiaTheme="majorEastAsia"/>
        </w:rPr>
      </w:pPr>
      <w:r w:rsidRPr="000D6614">
        <w:t>Koenig &amp; Bauer AG</w:t>
      </w:r>
      <w:r w:rsidRPr="000D6614">
        <w:br/>
        <w:t>Investor Relations</w:t>
      </w:r>
      <w:r w:rsidRPr="000D6614">
        <w:br/>
        <w:t xml:space="preserve">Dr Bernd Heusinger </w:t>
      </w:r>
      <w:r w:rsidRPr="000D6614">
        <w:br/>
        <w:t>T +49 931 909-4835</w:t>
      </w:r>
      <w:r w:rsidRPr="000D6614">
        <w:br/>
        <w:t xml:space="preserve">M </w:t>
      </w:r>
      <w:hyperlink r:id="rId9" w:history="1">
        <w:r w:rsidRPr="000D6614">
          <w:rPr>
            <w:rStyle w:val="Hyperlink"/>
            <w:rFonts w:eastAsiaTheme="majorEastAsia"/>
          </w:rPr>
          <w:t>bernd.heusinger@koenig-bauer.com</w:t>
        </w:r>
      </w:hyperlink>
    </w:p>
    <w:p w14:paraId="4A42426A" w14:textId="6AE48D16" w:rsidR="005A4642" w:rsidRPr="000D6614" w:rsidRDefault="005A4642" w:rsidP="005A4642">
      <w:pPr>
        <w:pStyle w:val="FlietextStandard"/>
        <w:spacing w:after="240"/>
        <w:rPr>
          <w:rStyle w:val="SchwacheHervorhebung"/>
          <w:i w:val="0"/>
          <w:iCs w:val="0"/>
          <w:color w:val="0A0A0A"/>
          <w:lang w:val="en-GB"/>
        </w:rPr>
      </w:pPr>
      <w:r w:rsidRPr="00CE03BE">
        <w:rPr>
          <w:rStyle w:val="Hervorhebung"/>
          <w:lang w:val="en-GB"/>
        </w:rPr>
        <w:t>About Koenig &amp; Bauer</w:t>
      </w:r>
      <w:r w:rsidRPr="00CE03BE">
        <w:rPr>
          <w:rStyle w:val="Hervorhebung"/>
          <w:lang w:val="en-GB"/>
        </w:rPr>
        <w:br/>
      </w:r>
      <w:r w:rsidR="007A06F7" w:rsidRPr="00CE03BE">
        <w:rPr>
          <w:lang w:val="en-GB"/>
        </w:rPr>
        <w:t>The Koenig &amp; Bauer group is a customer-centric partner to the international printing and converting industry with annual revenue of over €1.2bn and 5,700 employees. The group is the global market and technology leader in security printing and in growing packaging printing markets. Throughout its 202-year history, it has been driven by innovation and technological progress. Systematically oriented to meeting customer requirements, its high-tech printing presses and systems permit highly efficient printing, finishing and postpress processing. Its services cover a wide range of customer-oriented o</w:t>
      </w:r>
      <w:r w:rsidR="007A06F7" w:rsidRPr="00CE03BE">
        <w:rPr>
          <w:lang w:val="en-GB"/>
        </w:rPr>
        <w:t>f</w:t>
      </w:r>
      <w:r w:rsidR="007A06F7" w:rsidRPr="00CE03BE">
        <w:rPr>
          <w:lang w:val="en-GB"/>
        </w:rPr>
        <w:t>ferings including networked printing.</w:t>
      </w:r>
      <w:r w:rsidR="000D6614">
        <w:rPr>
          <w:lang w:val="en-GB"/>
        </w:rPr>
        <w:t xml:space="preserve"> </w:t>
      </w:r>
      <w:r w:rsidRPr="00CE03BE">
        <w:rPr>
          <w:rStyle w:val="SchwacheHervorhebung"/>
          <w:lang w:val="en-GB"/>
        </w:rPr>
        <w:t xml:space="preserve">For more information, visit </w:t>
      </w:r>
      <w:hyperlink r:id="rId10" w:history="1">
        <w:r w:rsidRPr="00CE03BE">
          <w:rPr>
            <w:rStyle w:val="SchwacheHervorhebung"/>
            <w:lang w:val="en-GB"/>
          </w:rPr>
          <w:t>www.koenig-bauer.com</w:t>
        </w:r>
      </w:hyperlink>
    </w:p>
    <w:p w14:paraId="6AFAAB08" w14:textId="39CE2F99" w:rsidR="005A4642" w:rsidRPr="00CE03BE" w:rsidRDefault="005A4642" w:rsidP="005A4642">
      <w:pPr>
        <w:pStyle w:val="FlietextStandard"/>
        <w:spacing w:after="240"/>
        <w:rPr>
          <w:rFonts w:eastAsiaTheme="minorEastAsia"/>
          <w:lang w:val="en-GB"/>
        </w:rPr>
      </w:pPr>
      <w:r w:rsidRPr="00CE03BE">
        <w:rPr>
          <w:rFonts w:eastAsiaTheme="minorEastAsia"/>
          <w:lang w:val="en-GB"/>
        </w:rPr>
        <w:t>Disclaimer:</w:t>
      </w:r>
      <w:r w:rsidRPr="00CE03BE">
        <w:rPr>
          <w:rFonts w:eastAsiaTheme="minorEastAsia"/>
          <w:lang w:val="en-GB"/>
        </w:rPr>
        <w:br/>
        <w:t xml:space="preserve">The projections contained in this press release </w:t>
      </w:r>
      <w:r w:rsidR="004A6B04" w:rsidRPr="00CE03BE">
        <w:rPr>
          <w:rFonts w:eastAsiaTheme="minorEastAsia"/>
          <w:lang w:val="en-GB"/>
        </w:rPr>
        <w:t xml:space="preserve">are </w:t>
      </w:r>
      <w:r w:rsidRPr="00CE03BE">
        <w:rPr>
          <w:rFonts w:eastAsiaTheme="minorEastAsia"/>
          <w:lang w:val="en-GB"/>
        </w:rPr>
        <w:t>founded on data available at the time of issue. While management believes them to be accurate, the impact of external factors beyond its control, such as changes in the economy, exchange rates and in our industry, may give rise to a different ou</w:t>
      </w:r>
      <w:r w:rsidRPr="00CE03BE">
        <w:rPr>
          <w:rFonts w:eastAsiaTheme="minorEastAsia"/>
          <w:lang w:val="en-GB"/>
        </w:rPr>
        <w:t>t</w:t>
      </w:r>
      <w:r w:rsidRPr="00CE03BE">
        <w:rPr>
          <w:rFonts w:eastAsiaTheme="minorEastAsia"/>
          <w:lang w:val="en-GB"/>
        </w:rPr>
        <w: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on these projections.</w:t>
      </w:r>
    </w:p>
    <w:tbl>
      <w:tblPr>
        <w:tblStyle w:val="KoenigundBauerTabelle"/>
        <w:tblW w:w="9131" w:type="dxa"/>
        <w:tblLook w:val="04A0" w:firstRow="1" w:lastRow="0" w:firstColumn="1" w:lastColumn="0" w:noHBand="0" w:noVBand="1"/>
      </w:tblPr>
      <w:tblGrid>
        <w:gridCol w:w="3518"/>
        <w:gridCol w:w="1871"/>
        <w:gridCol w:w="1871"/>
        <w:gridCol w:w="1871"/>
      </w:tblGrid>
      <w:tr w:rsidR="005A4642" w:rsidRPr="00CE03BE" w14:paraId="6817A6FB" w14:textId="77777777" w:rsidTr="00E80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hideMark/>
          </w:tcPr>
          <w:p w14:paraId="2B2BF857" w14:textId="77777777" w:rsidR="005A4642" w:rsidRPr="00CE03BE" w:rsidRDefault="005A4642" w:rsidP="005A4642">
            <w:pPr>
              <w:spacing w:after="240" w:line="280" w:lineRule="auto"/>
              <w:rPr>
                <w:lang w:val="en-GB"/>
              </w:rPr>
            </w:pPr>
            <w:r w:rsidRPr="00CE03BE">
              <w:rPr>
                <w:lang w:val="en-GB"/>
              </w:rPr>
              <w:lastRenderedPageBreak/>
              <w:t>Koenig &amp; Bauer group</w:t>
            </w:r>
          </w:p>
        </w:tc>
        <w:tc>
          <w:tcPr>
            <w:tcW w:w="1871" w:type="dxa"/>
            <w:hideMark/>
          </w:tcPr>
          <w:p w14:paraId="50E2E497" w14:textId="446606C2" w:rsidR="005A4642" w:rsidRPr="00CE03BE" w:rsidRDefault="005A4642" w:rsidP="007A06F7">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CE03BE">
              <w:rPr>
                <w:lang w:val="en-GB"/>
              </w:rPr>
              <w:t>30.06.201</w:t>
            </w:r>
            <w:r w:rsidR="007A06F7" w:rsidRPr="00CE03BE">
              <w:rPr>
                <w:lang w:val="en-GB"/>
              </w:rPr>
              <w:t>9</w:t>
            </w:r>
            <w:r w:rsidRPr="00CE03BE">
              <w:rPr>
                <w:lang w:val="en-GB"/>
              </w:rPr>
              <w:br/>
              <w:t>in €m</w:t>
            </w:r>
          </w:p>
        </w:tc>
        <w:tc>
          <w:tcPr>
            <w:tcW w:w="1871" w:type="dxa"/>
            <w:hideMark/>
          </w:tcPr>
          <w:p w14:paraId="2B685D88" w14:textId="7516E082" w:rsidR="005A4642" w:rsidRPr="00CE03BE" w:rsidRDefault="005A4642" w:rsidP="007A06F7">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CE03BE">
              <w:rPr>
                <w:lang w:val="en-GB"/>
              </w:rPr>
              <w:t>30.06.20</w:t>
            </w:r>
            <w:r w:rsidR="007A06F7" w:rsidRPr="00CE03BE">
              <w:rPr>
                <w:lang w:val="en-GB"/>
              </w:rPr>
              <w:t>20</w:t>
            </w:r>
            <w:r w:rsidRPr="00CE03BE">
              <w:rPr>
                <w:lang w:val="en-GB"/>
              </w:rPr>
              <w:br/>
              <w:t>in €m</w:t>
            </w:r>
          </w:p>
        </w:tc>
        <w:tc>
          <w:tcPr>
            <w:tcW w:w="1871" w:type="dxa"/>
            <w:hideMark/>
          </w:tcPr>
          <w:p w14:paraId="5DD8FABA" w14:textId="77777777" w:rsidR="005A4642" w:rsidRPr="00CE03BE" w:rsidRDefault="005A4642" w:rsidP="005A4642">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CE03BE">
              <w:rPr>
                <w:lang w:val="en-GB"/>
              </w:rPr>
              <w:t>Change</w:t>
            </w:r>
          </w:p>
        </w:tc>
      </w:tr>
      <w:tr w:rsidR="00F2174E" w:rsidRPr="00CE03BE" w14:paraId="712DB8AB"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E6DDD39" w14:textId="77777777" w:rsidR="00F2174E" w:rsidRPr="00CE03BE" w:rsidRDefault="00F2174E" w:rsidP="005A4642">
            <w:pPr>
              <w:spacing w:after="240" w:line="280" w:lineRule="auto"/>
              <w:rPr>
                <w:lang w:val="en-GB"/>
              </w:rPr>
            </w:pPr>
            <w:r w:rsidRPr="00CE03BE">
              <w:rPr>
                <w:lang w:val="en-GB"/>
              </w:rPr>
              <w:t>Revenue</w:t>
            </w:r>
            <w:r w:rsidRPr="00CE03BE">
              <w:rPr>
                <w:lang w:val="en-GB"/>
              </w:rPr>
              <w:br/>
            </w:r>
            <w:r w:rsidRPr="00CE03BE">
              <w:rPr>
                <w:rStyle w:val="Fett"/>
                <w:lang w:val="en-GB"/>
              </w:rPr>
              <w:t>Sheetfed</w:t>
            </w:r>
            <w:r w:rsidRPr="00CE03BE">
              <w:rPr>
                <w:b w:val="0"/>
                <w:bCs/>
                <w:lang w:val="en-GB"/>
              </w:rPr>
              <w:br/>
            </w:r>
            <w:r w:rsidRPr="00CE03BE">
              <w:rPr>
                <w:rStyle w:val="Fett"/>
                <w:lang w:val="en-GB"/>
              </w:rPr>
              <w:t>Digital &amp; Web</w:t>
            </w:r>
            <w:r w:rsidRPr="00CE03BE">
              <w:rPr>
                <w:lang w:val="en-GB"/>
              </w:rPr>
              <w:br/>
            </w:r>
            <w:r w:rsidRPr="00CE03BE">
              <w:rPr>
                <w:b w:val="0"/>
                <w:lang w:val="en-GB"/>
              </w:rPr>
              <w:t>Special</w:t>
            </w:r>
            <w:r w:rsidRPr="00CE03BE">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7CCBF15" w14:textId="2C286626"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rStyle w:val="Fett"/>
                <w:b w:val="0"/>
                <w:lang w:val="en-GB"/>
              </w:rPr>
            </w:pPr>
            <w:r w:rsidRPr="00CE03BE">
              <w:rPr>
                <w:b/>
                <w:lang w:val="en-GB"/>
              </w:rPr>
              <w:t>506.0</w:t>
            </w:r>
            <w:r w:rsidRPr="00CE03BE">
              <w:rPr>
                <w:lang w:val="en-GB"/>
              </w:rPr>
              <w:br/>
              <w:t>258.9</w:t>
            </w:r>
            <w:r w:rsidRPr="00CE03BE">
              <w:rPr>
                <w:lang w:val="en-GB"/>
              </w:rPr>
              <w:br/>
              <w:t>64.5</w:t>
            </w:r>
            <w:r w:rsidRPr="00CE03BE">
              <w:rPr>
                <w:lang w:val="en-GB"/>
              </w:rPr>
              <w:br/>
              <w:t>204.9</w:t>
            </w:r>
            <w:r w:rsidRPr="00CE03BE">
              <w:rPr>
                <w:lang w:val="en-GB"/>
              </w:rPr>
              <w:br/>
              <w:t>-22.3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4CB4758" w14:textId="5A964533"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b/>
                <w:lang w:val="en-GB"/>
              </w:rPr>
              <w:t>404.5</w:t>
            </w:r>
            <w:r w:rsidRPr="00CE03BE">
              <w:rPr>
                <w:lang w:val="en-GB"/>
              </w:rPr>
              <w:br/>
              <w:t>205.5</w:t>
            </w:r>
            <w:r w:rsidRPr="00CE03BE">
              <w:rPr>
                <w:lang w:val="en-GB"/>
              </w:rPr>
              <w:br/>
              <w:t>51.6</w:t>
            </w:r>
            <w:r w:rsidRPr="00CE03BE">
              <w:rPr>
                <w:lang w:val="en-GB"/>
              </w:rPr>
              <w:br/>
              <w:t>160.1</w:t>
            </w:r>
            <w:r w:rsidRPr="00CE03BE">
              <w:rPr>
                <w:lang w:val="en-GB"/>
              </w:rPr>
              <w:br/>
              <w:t>-12.7</w:t>
            </w:r>
          </w:p>
        </w:tc>
        <w:tc>
          <w:tcPr>
            <w:tcW w:w="1871" w:type="dxa"/>
            <w:tcBorders>
              <w:top w:val="single" w:sz="4" w:space="0" w:color="auto"/>
              <w:left w:val="single" w:sz="48" w:space="0" w:color="FFFFFF" w:themeColor="background1"/>
              <w:bottom w:val="single" w:sz="4" w:space="0" w:color="auto"/>
              <w:right w:val="nil"/>
            </w:tcBorders>
            <w:hideMark/>
          </w:tcPr>
          <w:p w14:paraId="157CD616" w14:textId="24DE9991"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b/>
                <w:lang w:val="en-GB"/>
              </w:rPr>
              <w:t>- 20.1%</w:t>
            </w:r>
            <w:r w:rsidRPr="00CE03BE">
              <w:rPr>
                <w:lang w:val="en-GB"/>
              </w:rPr>
              <w:br/>
              <w:t>- 20.6%</w:t>
            </w:r>
            <w:r w:rsidRPr="00CE03BE">
              <w:rPr>
                <w:lang w:val="en-GB"/>
              </w:rPr>
              <w:br/>
              <w:t>- 20.0%</w:t>
            </w:r>
            <w:r w:rsidRPr="00CE03BE">
              <w:rPr>
                <w:lang w:val="en-GB"/>
              </w:rPr>
              <w:br/>
              <w:t>- 21.9%</w:t>
            </w:r>
          </w:p>
        </w:tc>
      </w:tr>
      <w:tr w:rsidR="00F2174E" w:rsidRPr="00CE03BE" w14:paraId="6BE2DBC9"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2127E8C" w14:textId="77777777" w:rsidR="00F2174E" w:rsidRPr="00CE03BE" w:rsidRDefault="00F2174E" w:rsidP="005A4642">
            <w:pPr>
              <w:spacing w:after="240" w:line="280" w:lineRule="auto"/>
              <w:rPr>
                <w:lang w:val="en-GB"/>
              </w:rPr>
            </w:pPr>
            <w:r w:rsidRPr="00CE03BE">
              <w:rPr>
                <w:lang w:val="en-GB"/>
              </w:rPr>
              <w:t>Order intake</w:t>
            </w:r>
            <w:r w:rsidRPr="00CE03BE">
              <w:rPr>
                <w:lang w:val="en-GB"/>
              </w:rPr>
              <w:br/>
            </w:r>
            <w:r w:rsidRPr="00CE03BE">
              <w:rPr>
                <w:rStyle w:val="Fett"/>
                <w:lang w:val="en-GB"/>
              </w:rPr>
              <w:t>Sheetfed</w:t>
            </w:r>
            <w:r w:rsidRPr="00CE03BE">
              <w:rPr>
                <w:b w:val="0"/>
                <w:bCs/>
                <w:lang w:val="en-GB"/>
              </w:rPr>
              <w:br/>
            </w:r>
            <w:r w:rsidRPr="00CE03BE">
              <w:rPr>
                <w:rStyle w:val="Fett"/>
                <w:lang w:val="en-GB"/>
              </w:rPr>
              <w:t>Digital &amp; Web</w:t>
            </w:r>
            <w:r w:rsidRPr="00CE03BE">
              <w:rPr>
                <w:lang w:val="en-GB"/>
              </w:rPr>
              <w:br/>
            </w:r>
            <w:r w:rsidRPr="00CE03BE">
              <w:rPr>
                <w:b w:val="0"/>
                <w:lang w:val="en-GB"/>
              </w:rPr>
              <w:t>Special</w:t>
            </w:r>
            <w:r w:rsidRPr="00CE03BE">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A8D6F3E" w14:textId="55E40310"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rStyle w:val="Fett"/>
                <w:lang w:val="en-GB"/>
              </w:rPr>
              <w:t>573.3</w:t>
            </w:r>
            <w:r w:rsidRPr="00CE03BE">
              <w:rPr>
                <w:lang w:val="en-GB"/>
              </w:rPr>
              <w:br/>
              <w:t>330.6</w:t>
            </w:r>
            <w:r w:rsidRPr="00CE03BE">
              <w:rPr>
                <w:lang w:val="en-GB"/>
              </w:rPr>
              <w:br/>
              <w:t>89.9</w:t>
            </w:r>
            <w:r w:rsidRPr="00CE03BE">
              <w:rPr>
                <w:lang w:val="en-GB"/>
              </w:rPr>
              <w:br/>
              <w:t>175.3</w:t>
            </w:r>
            <w:r w:rsidRPr="00CE03BE">
              <w:rPr>
                <w:lang w:val="en-GB"/>
              </w:rPr>
              <w:br/>
              <w:t>-22.5</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EF161B6" w14:textId="1DFCD1C6"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rStyle w:val="Fett"/>
                <w:lang w:val="en-GB"/>
              </w:rPr>
              <w:t>480.2</w:t>
            </w:r>
            <w:r w:rsidRPr="00CE03BE">
              <w:rPr>
                <w:lang w:val="en-GB"/>
              </w:rPr>
              <w:br/>
              <w:t>288.0</w:t>
            </w:r>
            <w:r w:rsidRPr="00CE03BE">
              <w:rPr>
                <w:lang w:val="en-GB"/>
              </w:rPr>
              <w:br/>
              <w:t>56.7</w:t>
            </w:r>
            <w:r w:rsidRPr="00CE03BE">
              <w:rPr>
                <w:lang w:val="en-GB"/>
              </w:rPr>
              <w:br/>
              <w:t>150.7</w:t>
            </w:r>
            <w:r w:rsidRPr="00CE03BE">
              <w:rPr>
                <w:lang w:val="en-GB"/>
              </w:rPr>
              <w:br/>
              <w:t>-15.2</w:t>
            </w:r>
          </w:p>
        </w:tc>
        <w:tc>
          <w:tcPr>
            <w:tcW w:w="1871" w:type="dxa"/>
            <w:tcBorders>
              <w:top w:val="single" w:sz="4" w:space="0" w:color="auto"/>
              <w:left w:val="single" w:sz="48" w:space="0" w:color="FFFFFF" w:themeColor="background1"/>
              <w:bottom w:val="single" w:sz="4" w:space="0" w:color="auto"/>
              <w:right w:val="nil"/>
            </w:tcBorders>
            <w:hideMark/>
          </w:tcPr>
          <w:p w14:paraId="4D3E58D6" w14:textId="7DF6E06C"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rStyle w:val="Fett"/>
                <w:lang w:val="en-GB"/>
              </w:rPr>
              <w:t>- 16.2%</w:t>
            </w:r>
            <w:r w:rsidRPr="00CE03BE">
              <w:rPr>
                <w:lang w:val="en-GB"/>
              </w:rPr>
              <w:br/>
              <w:t>- 12.9%</w:t>
            </w:r>
            <w:r w:rsidRPr="00CE03BE">
              <w:rPr>
                <w:lang w:val="en-GB"/>
              </w:rPr>
              <w:br/>
              <w:t>- 36.9%</w:t>
            </w:r>
            <w:r w:rsidRPr="00CE03BE">
              <w:rPr>
                <w:lang w:val="en-GB"/>
              </w:rPr>
              <w:br/>
              <w:t>- 14.0%</w:t>
            </w:r>
          </w:p>
        </w:tc>
      </w:tr>
      <w:tr w:rsidR="00F2174E" w:rsidRPr="00CE03BE" w14:paraId="6D26CDEA"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916AA3F" w14:textId="77777777" w:rsidR="00F2174E" w:rsidRPr="00CE03BE" w:rsidRDefault="00F2174E" w:rsidP="005A4642">
            <w:pPr>
              <w:spacing w:after="240" w:line="280" w:lineRule="auto"/>
              <w:rPr>
                <w:lang w:val="en-GB"/>
              </w:rPr>
            </w:pPr>
            <w:r w:rsidRPr="00CE03BE">
              <w:rPr>
                <w:lang w:val="en-GB"/>
              </w:rPr>
              <w:t>Order backlog</w:t>
            </w:r>
            <w:r w:rsidRPr="00CE03BE">
              <w:rPr>
                <w:lang w:val="en-GB"/>
              </w:rPr>
              <w:br/>
            </w:r>
            <w:r w:rsidRPr="00CE03BE">
              <w:rPr>
                <w:rStyle w:val="Fett"/>
                <w:lang w:val="en-GB"/>
              </w:rPr>
              <w:t>Sheetfed</w:t>
            </w:r>
            <w:r w:rsidRPr="00CE03BE">
              <w:rPr>
                <w:b w:val="0"/>
                <w:bCs/>
                <w:lang w:val="en-GB"/>
              </w:rPr>
              <w:br/>
            </w:r>
            <w:r w:rsidRPr="00CE03BE">
              <w:rPr>
                <w:rStyle w:val="Fett"/>
                <w:lang w:val="en-GB"/>
              </w:rPr>
              <w:t>Digital &amp; Web</w:t>
            </w:r>
            <w:r w:rsidRPr="00CE03BE">
              <w:rPr>
                <w:lang w:val="en-GB"/>
              </w:rPr>
              <w:br/>
            </w:r>
            <w:r w:rsidRPr="00CE03BE">
              <w:rPr>
                <w:b w:val="0"/>
                <w:lang w:val="en-GB"/>
              </w:rPr>
              <w:t>Special</w:t>
            </w:r>
            <w:r w:rsidRPr="00CE03BE">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758E3961" w14:textId="615D27D9"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rStyle w:val="Fett"/>
                <w:lang w:val="en-GB"/>
              </w:rPr>
              <w:t>678.2</w:t>
            </w:r>
            <w:r w:rsidRPr="00CE03BE">
              <w:rPr>
                <w:lang w:val="en-GB"/>
              </w:rPr>
              <w:br/>
              <w:t>261.6</w:t>
            </w:r>
            <w:r w:rsidRPr="00CE03BE">
              <w:rPr>
                <w:lang w:val="en-GB"/>
              </w:rPr>
              <w:br/>
              <w:t>111.2</w:t>
            </w:r>
            <w:r w:rsidRPr="00CE03BE">
              <w:rPr>
                <w:lang w:val="en-GB"/>
              </w:rPr>
              <w:br/>
              <w:t>316.0</w:t>
            </w:r>
            <w:r w:rsidRPr="00CE03BE">
              <w:rPr>
                <w:lang w:val="en-GB"/>
              </w:rPr>
              <w:br/>
              <w:t>-10.6</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6C3C403D" w14:textId="086772F1"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rStyle w:val="Fett"/>
                <w:lang w:val="en-GB"/>
              </w:rPr>
              <w:t>609.4</w:t>
            </w:r>
            <w:r w:rsidRPr="00CE03BE">
              <w:rPr>
                <w:lang w:val="en-GB"/>
              </w:rPr>
              <w:br/>
              <w:t>265.9</w:t>
            </w:r>
            <w:r w:rsidRPr="00CE03BE">
              <w:rPr>
                <w:lang w:val="en-GB"/>
              </w:rPr>
              <w:br/>
              <w:t>71.2</w:t>
            </w:r>
            <w:r w:rsidRPr="00CE03BE">
              <w:rPr>
                <w:lang w:val="en-GB"/>
              </w:rPr>
              <w:br/>
              <w:t>278.1</w:t>
            </w:r>
            <w:r w:rsidRPr="00CE03BE">
              <w:rPr>
                <w:lang w:val="en-GB"/>
              </w:rPr>
              <w:br/>
              <w:t>-5.8</w:t>
            </w:r>
          </w:p>
        </w:tc>
        <w:tc>
          <w:tcPr>
            <w:tcW w:w="1871" w:type="dxa"/>
            <w:tcBorders>
              <w:top w:val="single" w:sz="4" w:space="0" w:color="auto"/>
              <w:left w:val="single" w:sz="48" w:space="0" w:color="FFFFFF" w:themeColor="background1"/>
              <w:bottom w:val="single" w:sz="4" w:space="0" w:color="auto"/>
              <w:right w:val="nil"/>
            </w:tcBorders>
            <w:hideMark/>
          </w:tcPr>
          <w:p w14:paraId="5E7943B1" w14:textId="29225ED9"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rStyle w:val="Fett"/>
                <w:lang w:val="en-GB"/>
              </w:rPr>
              <w:t>- 10.1%</w:t>
            </w:r>
            <w:r w:rsidRPr="00CE03BE">
              <w:rPr>
                <w:lang w:val="en-GB"/>
              </w:rPr>
              <w:br/>
              <w:t>+ 1.6%</w:t>
            </w:r>
            <w:r w:rsidRPr="00CE03BE">
              <w:rPr>
                <w:lang w:val="en-GB"/>
              </w:rPr>
              <w:br/>
              <w:t>- 36.0%</w:t>
            </w:r>
            <w:r w:rsidRPr="00CE03BE">
              <w:rPr>
                <w:lang w:val="en-GB"/>
              </w:rPr>
              <w:br/>
              <w:t>- 12.0%</w:t>
            </w:r>
          </w:p>
        </w:tc>
      </w:tr>
      <w:tr w:rsidR="00F2174E" w:rsidRPr="00CE03BE" w14:paraId="7732054B"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4B68A70" w14:textId="77777777" w:rsidR="00F2174E" w:rsidRPr="00CE03BE" w:rsidRDefault="00F2174E" w:rsidP="005A4642">
            <w:pPr>
              <w:spacing w:after="240" w:line="280" w:lineRule="auto"/>
              <w:rPr>
                <w:lang w:val="en-GB"/>
              </w:rPr>
            </w:pPr>
            <w:r w:rsidRPr="00CE03BE">
              <w:rPr>
                <w:lang w:val="en-GB"/>
              </w:rPr>
              <w:t>EBIT</w:t>
            </w:r>
            <w:r w:rsidRPr="00CE03BE">
              <w:rPr>
                <w:lang w:val="en-GB"/>
              </w:rPr>
              <w:br/>
            </w:r>
            <w:r w:rsidRPr="00CE03BE">
              <w:rPr>
                <w:rStyle w:val="Fett"/>
                <w:lang w:val="en-GB"/>
              </w:rPr>
              <w:t>Sheetfed</w:t>
            </w:r>
            <w:r w:rsidRPr="00CE03BE">
              <w:rPr>
                <w:b w:val="0"/>
                <w:bCs/>
                <w:lang w:val="en-GB"/>
              </w:rPr>
              <w:br/>
            </w:r>
            <w:r w:rsidRPr="00CE03BE">
              <w:rPr>
                <w:rStyle w:val="Fett"/>
                <w:lang w:val="en-GB"/>
              </w:rPr>
              <w:t>Digital &amp; Web</w:t>
            </w:r>
            <w:r w:rsidRPr="00CE03BE">
              <w:rPr>
                <w:lang w:val="en-GB"/>
              </w:rPr>
              <w:br/>
            </w:r>
            <w:r w:rsidRPr="00CE03BE">
              <w:rPr>
                <w:b w:val="0"/>
                <w:lang w:val="en-GB"/>
              </w:rPr>
              <w:t>Special</w:t>
            </w:r>
            <w:r w:rsidRPr="00CE03BE">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69E9AB0C" w14:textId="3BA2B759" w:rsidR="00F2174E" w:rsidRPr="00CE03BE" w:rsidRDefault="00F2174E" w:rsidP="00AA53D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rStyle w:val="Fett"/>
                <w:lang w:val="en-GB"/>
              </w:rPr>
              <w:t>0.6</w:t>
            </w:r>
            <w:r w:rsidRPr="00CE03BE">
              <w:rPr>
                <w:lang w:val="en-GB"/>
              </w:rPr>
              <w:br/>
              <w:t>-1.</w:t>
            </w:r>
            <w:r w:rsidR="00AA53DB">
              <w:rPr>
                <w:lang w:val="en-GB"/>
              </w:rPr>
              <w:t>3</w:t>
            </w:r>
            <w:bookmarkStart w:id="0" w:name="_GoBack"/>
            <w:bookmarkEnd w:id="0"/>
            <w:r w:rsidRPr="00CE03BE">
              <w:rPr>
                <w:lang w:val="en-GB"/>
              </w:rPr>
              <w:br/>
              <w:t>-1</w:t>
            </w:r>
            <w:r w:rsidR="00AA53DB">
              <w:rPr>
                <w:lang w:val="en-GB"/>
              </w:rPr>
              <w:t>0</w:t>
            </w:r>
            <w:r w:rsidRPr="00CE03BE">
              <w:rPr>
                <w:lang w:val="en-GB"/>
              </w:rPr>
              <w:t>.</w:t>
            </w:r>
            <w:r w:rsidR="00AA53DB">
              <w:rPr>
                <w:lang w:val="en-GB"/>
              </w:rPr>
              <w:t>8</w:t>
            </w:r>
            <w:r w:rsidRPr="00CE03BE">
              <w:rPr>
                <w:lang w:val="en-GB"/>
              </w:rPr>
              <w:br/>
              <w:t>6.</w:t>
            </w:r>
            <w:r w:rsidR="00AA53DB">
              <w:rPr>
                <w:lang w:val="en-GB"/>
              </w:rPr>
              <w:t>3</w:t>
            </w:r>
            <w:r w:rsidRPr="00CE03BE">
              <w:rPr>
                <w:lang w:val="en-GB"/>
              </w:rPr>
              <w:br/>
              <w:t>6.</w:t>
            </w:r>
            <w:r w:rsidR="00AA53DB">
              <w:rPr>
                <w:lang w:val="en-GB"/>
              </w:rPr>
              <w:t>4</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453ECB0" w14:textId="59056073"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CE03BE">
              <w:rPr>
                <w:rStyle w:val="Fett"/>
                <w:lang w:val="en-GB"/>
              </w:rPr>
              <w:t>-40.9</w:t>
            </w:r>
            <w:r w:rsidRPr="00CE03BE">
              <w:rPr>
                <w:lang w:val="en-GB"/>
              </w:rPr>
              <w:br/>
              <w:t>-17.4</w:t>
            </w:r>
            <w:r w:rsidRPr="00CE03BE">
              <w:rPr>
                <w:lang w:val="en-GB"/>
              </w:rPr>
              <w:br/>
              <w:t>-12.1</w:t>
            </w:r>
            <w:r w:rsidRPr="00CE03BE">
              <w:rPr>
                <w:lang w:val="en-GB"/>
              </w:rPr>
              <w:br/>
              <w:t>-10.3</w:t>
            </w:r>
            <w:r w:rsidRPr="00CE03BE">
              <w:rPr>
                <w:lang w:val="en-GB"/>
              </w:rPr>
              <w:br/>
              <w:t>-1.1</w:t>
            </w:r>
          </w:p>
        </w:tc>
        <w:tc>
          <w:tcPr>
            <w:tcW w:w="1871" w:type="dxa"/>
            <w:tcBorders>
              <w:top w:val="single" w:sz="4" w:space="0" w:color="auto"/>
              <w:left w:val="single" w:sz="48" w:space="0" w:color="FFFFFF" w:themeColor="background1"/>
              <w:bottom w:val="single" w:sz="4" w:space="0" w:color="auto"/>
              <w:right w:val="nil"/>
            </w:tcBorders>
          </w:tcPr>
          <w:p w14:paraId="62ABE30B" w14:textId="77777777" w:rsidR="00F2174E" w:rsidRPr="00CE03BE" w:rsidRDefault="00F2174E"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p>
        </w:tc>
      </w:tr>
      <w:tr w:rsidR="00F2174E" w:rsidRPr="00CE03BE" w14:paraId="1BBB6245"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55020874" w14:textId="77777777" w:rsidR="00F2174E" w:rsidRPr="00CE03BE" w:rsidRDefault="00F2174E" w:rsidP="005A4642">
            <w:pPr>
              <w:spacing w:after="240" w:line="280" w:lineRule="auto"/>
              <w:rPr>
                <w:lang w:val="en-GB"/>
              </w:rPr>
            </w:pPr>
            <w:r w:rsidRPr="00CE03BE">
              <w:rPr>
                <w:lang w:val="en-GB"/>
              </w:rPr>
              <w:t>Earnings before taxes (EBT)</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A0B2DDF" w14:textId="6A76527D"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-2.0</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9EB94C9" w14:textId="49315CFA"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-42.9</w:t>
            </w:r>
          </w:p>
        </w:tc>
        <w:tc>
          <w:tcPr>
            <w:tcW w:w="1871" w:type="dxa"/>
            <w:tcBorders>
              <w:top w:val="single" w:sz="4" w:space="0" w:color="auto"/>
              <w:left w:val="single" w:sz="48" w:space="0" w:color="FFFFFF" w:themeColor="background1"/>
              <w:bottom w:val="single" w:sz="4" w:space="0" w:color="auto"/>
              <w:right w:val="nil"/>
            </w:tcBorders>
          </w:tcPr>
          <w:p w14:paraId="4DB7B584" w14:textId="77777777" w:rsidR="00F2174E" w:rsidRPr="00CE03BE" w:rsidRDefault="00F2174E"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F2174E" w:rsidRPr="00CE03BE" w14:paraId="391E7E60"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EB5B852" w14:textId="34F183AA" w:rsidR="00F2174E" w:rsidRPr="00CE03BE" w:rsidRDefault="00F2174E" w:rsidP="005A4642">
            <w:pPr>
              <w:spacing w:after="240" w:line="280" w:lineRule="auto"/>
              <w:rPr>
                <w:lang w:val="en-GB"/>
              </w:rPr>
            </w:pPr>
            <w:r w:rsidRPr="00CE03BE">
              <w:rPr>
                <w:lang w:val="en-GB"/>
              </w:rPr>
              <w:t>Net earnings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C6D1807" w14:textId="00F1D175"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-2.4</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03F904C" w14:textId="27E3024C"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-44.2</w:t>
            </w:r>
          </w:p>
        </w:tc>
        <w:tc>
          <w:tcPr>
            <w:tcW w:w="1871" w:type="dxa"/>
            <w:tcBorders>
              <w:top w:val="single" w:sz="4" w:space="0" w:color="auto"/>
              <w:left w:val="single" w:sz="48" w:space="0" w:color="FFFFFF" w:themeColor="background1"/>
              <w:bottom w:val="single" w:sz="4" w:space="0" w:color="auto"/>
              <w:right w:val="nil"/>
            </w:tcBorders>
          </w:tcPr>
          <w:p w14:paraId="418F7F96" w14:textId="77777777" w:rsidR="00F2174E" w:rsidRPr="00CE03BE" w:rsidRDefault="00F2174E"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F2174E" w:rsidRPr="00CE03BE" w14:paraId="64856BE6"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1E2FD64" w14:textId="77777777" w:rsidR="00F2174E" w:rsidRPr="00CE03BE" w:rsidRDefault="00F2174E" w:rsidP="005A4642">
            <w:pPr>
              <w:spacing w:after="240" w:line="280" w:lineRule="auto"/>
              <w:rPr>
                <w:lang w:val="en-GB"/>
              </w:rPr>
            </w:pPr>
            <w:r w:rsidRPr="00CE03BE">
              <w:rPr>
                <w:lang w:val="en-GB"/>
              </w:rPr>
              <w:t>Earnings per share in €</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C1FE155" w14:textId="6F21BCF4"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-0.15</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E146B52" w14:textId="428CB699"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-2.68</w:t>
            </w:r>
          </w:p>
        </w:tc>
        <w:tc>
          <w:tcPr>
            <w:tcW w:w="1871" w:type="dxa"/>
            <w:tcBorders>
              <w:top w:val="single" w:sz="4" w:space="0" w:color="auto"/>
              <w:left w:val="single" w:sz="48" w:space="0" w:color="FFFFFF" w:themeColor="background1"/>
              <w:bottom w:val="single" w:sz="4" w:space="0" w:color="auto"/>
              <w:right w:val="nil"/>
            </w:tcBorders>
          </w:tcPr>
          <w:p w14:paraId="006602C8" w14:textId="77777777" w:rsidR="00F2174E" w:rsidRPr="00CE03BE" w:rsidRDefault="00F2174E"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F2174E" w:rsidRPr="00CE03BE" w14:paraId="0D8394FE"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D894E10" w14:textId="77777777" w:rsidR="00F2174E" w:rsidRPr="00CE03BE" w:rsidRDefault="00F2174E" w:rsidP="005A4642">
            <w:pPr>
              <w:spacing w:after="240" w:line="280" w:lineRule="auto"/>
              <w:rPr>
                <w:lang w:val="en-GB"/>
              </w:rPr>
            </w:pPr>
            <w:r w:rsidRPr="00CE03BE">
              <w:rPr>
                <w:lang w:val="en-GB"/>
              </w:rPr>
              <w:t>Cash flows from operating</w:t>
            </w:r>
            <w:r w:rsidRPr="00CE03BE">
              <w:rPr>
                <w:lang w:val="en-GB"/>
              </w:rPr>
              <w:br/>
              <w:t>activities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784BF89" w14:textId="33FDAC38"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-96.5</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AB4D132" w14:textId="02E8DFA3"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-68.6</w:t>
            </w:r>
          </w:p>
        </w:tc>
        <w:tc>
          <w:tcPr>
            <w:tcW w:w="1871" w:type="dxa"/>
            <w:tcBorders>
              <w:top w:val="single" w:sz="4" w:space="0" w:color="auto"/>
              <w:left w:val="single" w:sz="48" w:space="0" w:color="FFFFFF" w:themeColor="background1"/>
              <w:bottom w:val="single" w:sz="4" w:space="0" w:color="auto"/>
              <w:right w:val="nil"/>
            </w:tcBorders>
          </w:tcPr>
          <w:p w14:paraId="15CA509F" w14:textId="77777777" w:rsidR="00F2174E" w:rsidRPr="00CE03BE" w:rsidRDefault="00F2174E"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F2174E" w:rsidRPr="00CE03BE" w14:paraId="4FB9ED49"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BF794B7" w14:textId="404F481E" w:rsidR="00F2174E" w:rsidRPr="00CE03BE" w:rsidRDefault="00F2174E" w:rsidP="001E7A4D">
            <w:pPr>
              <w:spacing w:after="240" w:line="280" w:lineRule="auto"/>
              <w:rPr>
                <w:lang w:val="en-GB"/>
              </w:rPr>
            </w:pPr>
            <w:r w:rsidRPr="00CE03BE">
              <w:rPr>
                <w:lang w:val="en-GB"/>
              </w:rPr>
              <w:t xml:space="preserve">Balance sheet total </w:t>
            </w:r>
            <w:r w:rsidRPr="00CE03BE">
              <w:rPr>
                <w:b w:val="0"/>
                <w:lang w:val="en-GB"/>
              </w:rPr>
              <w:br/>
              <w:t>(prior year: 31.12.)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410EC0D" w14:textId="649C842D"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1,343.1</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83C71B6" w14:textId="68147632"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1,300.2</w:t>
            </w:r>
          </w:p>
        </w:tc>
        <w:tc>
          <w:tcPr>
            <w:tcW w:w="1871" w:type="dxa"/>
            <w:tcBorders>
              <w:top w:val="single" w:sz="4" w:space="0" w:color="auto"/>
              <w:left w:val="single" w:sz="48" w:space="0" w:color="FFFFFF" w:themeColor="background1"/>
              <w:bottom w:val="single" w:sz="4" w:space="0" w:color="auto"/>
              <w:right w:val="nil"/>
            </w:tcBorders>
          </w:tcPr>
          <w:p w14:paraId="11E3156F" w14:textId="77777777" w:rsidR="00F2174E" w:rsidRPr="00CE03BE" w:rsidRDefault="00F2174E"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F2174E" w:rsidRPr="00CE03BE" w14:paraId="1F5ECBAD"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2AD0D892" w14:textId="1F0DD2F1" w:rsidR="00F2174E" w:rsidRPr="00CE03BE" w:rsidRDefault="00F2174E" w:rsidP="005A4642">
            <w:pPr>
              <w:spacing w:after="240" w:line="280" w:lineRule="auto"/>
              <w:rPr>
                <w:lang w:val="en-GB"/>
              </w:rPr>
            </w:pPr>
            <w:r w:rsidRPr="00CE03BE">
              <w:rPr>
                <w:lang w:val="en-GB"/>
              </w:rPr>
              <w:t xml:space="preserve">Equity </w:t>
            </w:r>
            <w:r w:rsidRPr="00CE03BE">
              <w:rPr>
                <w:b w:val="0"/>
                <w:lang w:val="en-GB"/>
              </w:rPr>
              <w:t>(prior year: 31.12.)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91124B8" w14:textId="566A169C"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460.4</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1BA6BDB" w14:textId="6CC812C3"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419.1</w:t>
            </w:r>
          </w:p>
        </w:tc>
        <w:tc>
          <w:tcPr>
            <w:tcW w:w="1871" w:type="dxa"/>
            <w:tcBorders>
              <w:top w:val="single" w:sz="4" w:space="0" w:color="auto"/>
              <w:left w:val="single" w:sz="48" w:space="0" w:color="FFFFFF" w:themeColor="background1"/>
              <w:bottom w:val="single" w:sz="4" w:space="0" w:color="auto"/>
              <w:right w:val="nil"/>
            </w:tcBorders>
          </w:tcPr>
          <w:p w14:paraId="37C86F33" w14:textId="77777777" w:rsidR="00F2174E" w:rsidRPr="00CE03BE" w:rsidRDefault="00F2174E"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F2174E" w:rsidRPr="00CE03BE" w14:paraId="376CF424" w14:textId="77777777" w:rsidTr="00E805C4">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nil"/>
              <w:right w:val="single" w:sz="48" w:space="0" w:color="FFFFFF" w:themeColor="background1"/>
            </w:tcBorders>
            <w:hideMark/>
          </w:tcPr>
          <w:p w14:paraId="12B85EA7" w14:textId="6F9DD96F" w:rsidR="00F2174E" w:rsidRPr="00CE03BE" w:rsidRDefault="00F2174E" w:rsidP="005A4642">
            <w:pPr>
              <w:spacing w:after="240" w:line="280" w:lineRule="auto"/>
              <w:rPr>
                <w:lang w:val="en-GB"/>
              </w:rPr>
            </w:pPr>
            <w:r w:rsidRPr="00CE03BE">
              <w:rPr>
                <w:lang w:val="en-GB"/>
              </w:rPr>
              <w:t>Employees at 30 June</w:t>
            </w:r>
            <w:r w:rsidRPr="00CE03BE">
              <w:rPr>
                <w:lang w:val="en-GB"/>
              </w:rPr>
              <w:br/>
            </w:r>
            <w:r w:rsidRPr="00CE03BE">
              <w:rPr>
                <w:b w:val="0"/>
                <w:lang w:val="en-GB"/>
              </w:rPr>
              <w:t>thereof apprentices/students</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4613E5FD" w14:textId="45BD8279"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5,725</w:t>
            </w:r>
            <w:r w:rsidRPr="00CE03BE">
              <w:rPr>
                <w:b/>
                <w:lang w:val="en-GB"/>
              </w:rPr>
              <w:br/>
            </w:r>
            <w:r w:rsidRPr="00CE03BE">
              <w:rPr>
                <w:lang w:val="en-GB"/>
              </w:rPr>
              <w:t>275</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046AF308" w14:textId="383FBB9A" w:rsidR="00F2174E" w:rsidRPr="00CE03BE" w:rsidRDefault="00F2174E" w:rsidP="00F2174E">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CE03BE">
              <w:rPr>
                <w:b/>
                <w:lang w:val="en-GB"/>
              </w:rPr>
              <w:t>5,661</w:t>
            </w:r>
            <w:r w:rsidRPr="00CE03BE">
              <w:rPr>
                <w:b/>
                <w:lang w:val="en-GB"/>
              </w:rPr>
              <w:br/>
            </w:r>
            <w:r w:rsidRPr="00CE03BE">
              <w:rPr>
                <w:lang w:val="en-GB"/>
              </w:rPr>
              <w:t>284</w:t>
            </w:r>
          </w:p>
        </w:tc>
        <w:tc>
          <w:tcPr>
            <w:tcW w:w="1871" w:type="dxa"/>
            <w:tcBorders>
              <w:top w:val="single" w:sz="4" w:space="0" w:color="auto"/>
              <w:left w:val="single" w:sz="48" w:space="0" w:color="FFFFFF" w:themeColor="background1"/>
              <w:bottom w:val="nil"/>
              <w:right w:val="nil"/>
            </w:tcBorders>
          </w:tcPr>
          <w:p w14:paraId="15FA1E66" w14:textId="77777777" w:rsidR="00F2174E" w:rsidRPr="00CE03BE" w:rsidRDefault="00F2174E"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bl>
    <w:p w14:paraId="55A591FF" w14:textId="77777777" w:rsidR="005A4642" w:rsidRPr="00CE03BE" w:rsidRDefault="005A4642" w:rsidP="001E7A4D">
      <w:pPr>
        <w:spacing w:after="240"/>
        <w:rPr>
          <w:lang w:val="en-GB"/>
        </w:rPr>
      </w:pPr>
    </w:p>
    <w:sectPr w:rsidR="005A4642" w:rsidRPr="00CE03BE"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9BCAE" w14:textId="77777777" w:rsidR="00FB00C8" w:rsidRDefault="00FB00C8" w:rsidP="00647A4F">
      <w:pPr>
        <w:spacing w:after="240"/>
      </w:pPr>
      <w:r>
        <w:separator/>
      </w:r>
    </w:p>
    <w:p w14:paraId="33F8286B" w14:textId="77777777" w:rsidR="00FB00C8" w:rsidRDefault="00FB00C8" w:rsidP="00647A4F">
      <w:pPr>
        <w:spacing w:after="240"/>
      </w:pPr>
    </w:p>
  </w:endnote>
  <w:endnote w:type="continuationSeparator" w:id="0">
    <w:p w14:paraId="167B1D5B" w14:textId="77777777" w:rsidR="00FB00C8" w:rsidRDefault="00FB00C8" w:rsidP="00647A4F">
      <w:pPr>
        <w:spacing w:after="240"/>
      </w:pPr>
      <w:r>
        <w:continuationSeparator/>
      </w:r>
    </w:p>
    <w:p w14:paraId="0C21F3D8" w14:textId="77777777" w:rsidR="00FB00C8" w:rsidRDefault="00FB00C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68A8" w14:textId="77777777" w:rsidR="00FB301F" w:rsidRDefault="00FB301F">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580F" w14:textId="5EEF7727" w:rsidR="00FB301F" w:rsidRPr="005A4642" w:rsidRDefault="00AA53DB" w:rsidP="00182744">
    <w:pPr>
      <w:pStyle w:val="Fuzeile"/>
      <w:spacing w:after="240"/>
    </w:pPr>
    <w:sdt>
      <w:sdtPr>
        <w:rPr>
          <w:szCs w:val="28"/>
          <w:lang w:val="en-GB"/>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7A06F7" w:rsidRPr="007A06F7">
          <w:rPr>
            <w:szCs w:val="28"/>
            <w:lang w:val="en-GB"/>
          </w:rPr>
          <w:t xml:space="preserve">Koenig &amp; Bauer publishes its </w:t>
        </w:r>
        <w:r w:rsidR="007A06F7">
          <w:rPr>
            <w:szCs w:val="28"/>
            <w:lang w:val="en-GB"/>
          </w:rPr>
          <w:t>H</w:t>
        </w:r>
        <w:r w:rsidR="007A06F7" w:rsidRPr="007A06F7">
          <w:rPr>
            <w:szCs w:val="28"/>
            <w:lang w:val="en-GB"/>
          </w:rPr>
          <w:t>1 report 2020</w:t>
        </w:r>
      </w:sdtContent>
    </w:sdt>
    <w:r w:rsidR="00FB301F" w:rsidRPr="005A4642">
      <w:t xml:space="preserve"> | </w:t>
    </w:r>
    <w:r w:rsidR="00FB301F">
      <w:fldChar w:fldCharType="begin"/>
    </w:r>
    <w:r w:rsidR="00FB301F" w:rsidRPr="005A4642">
      <w:instrText xml:space="preserve"> PAGE </w:instrText>
    </w:r>
    <w:r w:rsidR="00FB301F">
      <w:fldChar w:fldCharType="separate"/>
    </w:r>
    <w:r>
      <w:t>1</w:t>
    </w:r>
    <w:r w:rsidR="00FB301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B57D" w14:textId="34B705E0" w:rsidR="00FB301F" w:rsidRPr="00FB301F" w:rsidRDefault="00AA53DB"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7A06F7">
          <w:rPr>
            <w:lang w:val="de-DE"/>
          </w:rPr>
          <w:t>Koenig &amp; Bauer publishes its H1 report 2020</w:t>
        </w:r>
      </w:sdtContent>
    </w:sdt>
    <w:r w:rsidR="00FB301F" w:rsidRPr="00FB301F">
      <w:t xml:space="preserve"> | </w:t>
    </w:r>
    <w:r w:rsidR="00FB301F">
      <w:fldChar w:fldCharType="begin"/>
    </w:r>
    <w:r w:rsidR="00FB301F" w:rsidRPr="00FB301F">
      <w:instrText xml:space="preserve"> PAGE </w:instrText>
    </w:r>
    <w:r w:rsidR="00FB301F">
      <w:fldChar w:fldCharType="separate"/>
    </w:r>
    <w:r w:rsidR="00FB301F" w:rsidRPr="00FB301F">
      <w:t>1</w:t>
    </w:r>
    <w:r w:rsidR="00FB30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AE69B" w14:textId="77777777" w:rsidR="00FB00C8" w:rsidRDefault="00FB00C8" w:rsidP="00647A4F">
      <w:pPr>
        <w:spacing w:after="240"/>
      </w:pPr>
      <w:r>
        <w:separator/>
      </w:r>
    </w:p>
  </w:footnote>
  <w:footnote w:type="continuationSeparator" w:id="0">
    <w:p w14:paraId="73E66D13" w14:textId="77777777" w:rsidR="00FB00C8" w:rsidRDefault="00FB00C8" w:rsidP="00647A4F">
      <w:pPr>
        <w:spacing w:after="240"/>
      </w:pPr>
      <w:r>
        <w:continuationSeparator/>
      </w:r>
    </w:p>
    <w:p w14:paraId="69F37A6B" w14:textId="77777777" w:rsidR="00FB00C8" w:rsidRDefault="00FB00C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D067" w14:textId="77777777" w:rsidR="00FB301F" w:rsidRDefault="00FB301F"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935A4" w14:textId="77777777" w:rsidR="00FB301F" w:rsidRDefault="00FB301F" w:rsidP="00647A4F">
    <w:pPr>
      <w:pStyle w:val="Kopfzeile"/>
      <w:spacing w:after="240"/>
    </w:pPr>
    <w:r w:rsidRPr="000B7CEC">
      <w:rPr>
        <w:noProof/>
        <w:lang w:val="de-DE" w:eastAsia="de-DE"/>
      </w:rPr>
      <w:drawing>
        <wp:anchor distT="0" distB="0" distL="114300" distR="114300" simplePos="0" relativeHeight="251664384" behindDoc="0" locked="1" layoutInCell="1" allowOverlap="1" wp14:anchorId="45519B19" wp14:editId="66B7EA2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AF35B" w14:textId="77777777" w:rsidR="00FB301F" w:rsidRPr="000B7CEC" w:rsidRDefault="00FB301F" w:rsidP="00647A4F">
    <w:pPr>
      <w:pStyle w:val="Kopfzeile"/>
      <w:spacing w:after="240"/>
    </w:pPr>
    <w:r w:rsidRPr="000B7CEC">
      <w:rPr>
        <w:noProof/>
        <w:lang w:val="de-DE" w:eastAsia="de-DE"/>
      </w:rPr>
      <w:drawing>
        <wp:anchor distT="0" distB="0" distL="114300" distR="114300" simplePos="0" relativeHeight="251662336" behindDoc="0" locked="0" layoutInCell="1" allowOverlap="1" wp14:anchorId="389F5687" wp14:editId="53C749E4">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441315F"/>
    <w:multiLevelType w:val="hybridMultilevel"/>
    <w:tmpl w:val="73F2A2B2"/>
    <w:lvl w:ilvl="0" w:tplc="2EB2D68E">
      <w:start w:val="1"/>
      <w:numFmt w:val="bullet"/>
      <w:lvlText w:val="•"/>
      <w:lvlJc w:val="left"/>
      <w:pPr>
        <w:tabs>
          <w:tab w:val="num" w:pos="720"/>
        </w:tabs>
        <w:ind w:left="720" w:hanging="360"/>
      </w:pPr>
      <w:rPr>
        <w:rFonts w:ascii="Arial" w:hAnsi="Arial" w:hint="default"/>
      </w:rPr>
    </w:lvl>
    <w:lvl w:ilvl="1" w:tplc="8AF2C6D0" w:tentative="1">
      <w:start w:val="1"/>
      <w:numFmt w:val="bullet"/>
      <w:lvlText w:val="•"/>
      <w:lvlJc w:val="left"/>
      <w:pPr>
        <w:tabs>
          <w:tab w:val="num" w:pos="1440"/>
        </w:tabs>
        <w:ind w:left="1440" w:hanging="360"/>
      </w:pPr>
      <w:rPr>
        <w:rFonts w:ascii="Arial" w:hAnsi="Arial" w:hint="default"/>
      </w:rPr>
    </w:lvl>
    <w:lvl w:ilvl="2" w:tplc="AA061DCA" w:tentative="1">
      <w:start w:val="1"/>
      <w:numFmt w:val="bullet"/>
      <w:lvlText w:val="•"/>
      <w:lvlJc w:val="left"/>
      <w:pPr>
        <w:tabs>
          <w:tab w:val="num" w:pos="2160"/>
        </w:tabs>
        <w:ind w:left="2160" w:hanging="360"/>
      </w:pPr>
      <w:rPr>
        <w:rFonts w:ascii="Arial" w:hAnsi="Arial" w:hint="default"/>
      </w:rPr>
    </w:lvl>
    <w:lvl w:ilvl="3" w:tplc="13A04992" w:tentative="1">
      <w:start w:val="1"/>
      <w:numFmt w:val="bullet"/>
      <w:lvlText w:val="•"/>
      <w:lvlJc w:val="left"/>
      <w:pPr>
        <w:tabs>
          <w:tab w:val="num" w:pos="2880"/>
        </w:tabs>
        <w:ind w:left="2880" w:hanging="360"/>
      </w:pPr>
      <w:rPr>
        <w:rFonts w:ascii="Arial" w:hAnsi="Arial" w:hint="default"/>
      </w:rPr>
    </w:lvl>
    <w:lvl w:ilvl="4" w:tplc="F28C6FC0" w:tentative="1">
      <w:start w:val="1"/>
      <w:numFmt w:val="bullet"/>
      <w:lvlText w:val="•"/>
      <w:lvlJc w:val="left"/>
      <w:pPr>
        <w:tabs>
          <w:tab w:val="num" w:pos="3600"/>
        </w:tabs>
        <w:ind w:left="3600" w:hanging="360"/>
      </w:pPr>
      <w:rPr>
        <w:rFonts w:ascii="Arial" w:hAnsi="Arial" w:hint="default"/>
      </w:rPr>
    </w:lvl>
    <w:lvl w:ilvl="5" w:tplc="7AC092C6" w:tentative="1">
      <w:start w:val="1"/>
      <w:numFmt w:val="bullet"/>
      <w:lvlText w:val="•"/>
      <w:lvlJc w:val="left"/>
      <w:pPr>
        <w:tabs>
          <w:tab w:val="num" w:pos="4320"/>
        </w:tabs>
        <w:ind w:left="4320" w:hanging="360"/>
      </w:pPr>
      <w:rPr>
        <w:rFonts w:ascii="Arial" w:hAnsi="Arial" w:hint="default"/>
      </w:rPr>
    </w:lvl>
    <w:lvl w:ilvl="6" w:tplc="2154E142" w:tentative="1">
      <w:start w:val="1"/>
      <w:numFmt w:val="bullet"/>
      <w:lvlText w:val="•"/>
      <w:lvlJc w:val="left"/>
      <w:pPr>
        <w:tabs>
          <w:tab w:val="num" w:pos="5040"/>
        </w:tabs>
        <w:ind w:left="5040" w:hanging="360"/>
      </w:pPr>
      <w:rPr>
        <w:rFonts w:ascii="Arial" w:hAnsi="Arial" w:hint="default"/>
      </w:rPr>
    </w:lvl>
    <w:lvl w:ilvl="7" w:tplc="2AC636B0" w:tentative="1">
      <w:start w:val="1"/>
      <w:numFmt w:val="bullet"/>
      <w:lvlText w:val="•"/>
      <w:lvlJc w:val="left"/>
      <w:pPr>
        <w:tabs>
          <w:tab w:val="num" w:pos="5760"/>
        </w:tabs>
        <w:ind w:left="5760" w:hanging="360"/>
      </w:pPr>
      <w:rPr>
        <w:rFonts w:ascii="Arial" w:hAnsi="Arial" w:hint="default"/>
      </w:rPr>
    </w:lvl>
    <w:lvl w:ilvl="8" w:tplc="88DA982A" w:tentative="1">
      <w:start w:val="1"/>
      <w:numFmt w:val="bullet"/>
      <w:lvlText w:val="•"/>
      <w:lvlJc w:val="left"/>
      <w:pPr>
        <w:tabs>
          <w:tab w:val="num" w:pos="6480"/>
        </w:tabs>
        <w:ind w:left="6480" w:hanging="360"/>
      </w:pPr>
      <w:rPr>
        <w:rFonts w:ascii="Arial" w:hAnsi="Arial" w:hint="default"/>
      </w:rPr>
    </w:lvl>
  </w:abstractNum>
  <w:abstractNum w:abstractNumId="8">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10">
    <w:nsid w:val="24017E6B"/>
    <w:multiLevelType w:val="hybridMultilevel"/>
    <w:tmpl w:val="4BB00672"/>
    <w:lvl w:ilvl="0" w:tplc="BB66B5FC">
      <w:start w:val="1"/>
      <w:numFmt w:val="bullet"/>
      <w:lvlText w:val="•"/>
      <w:lvlJc w:val="left"/>
      <w:pPr>
        <w:tabs>
          <w:tab w:val="num" w:pos="720"/>
        </w:tabs>
        <w:ind w:left="720" w:hanging="360"/>
      </w:pPr>
      <w:rPr>
        <w:rFonts w:ascii="Arial" w:hAnsi="Arial" w:hint="default"/>
      </w:rPr>
    </w:lvl>
    <w:lvl w:ilvl="1" w:tplc="1EA61B44" w:tentative="1">
      <w:start w:val="1"/>
      <w:numFmt w:val="bullet"/>
      <w:lvlText w:val="•"/>
      <w:lvlJc w:val="left"/>
      <w:pPr>
        <w:tabs>
          <w:tab w:val="num" w:pos="1440"/>
        </w:tabs>
        <w:ind w:left="1440" w:hanging="360"/>
      </w:pPr>
      <w:rPr>
        <w:rFonts w:ascii="Arial" w:hAnsi="Arial" w:hint="default"/>
      </w:rPr>
    </w:lvl>
    <w:lvl w:ilvl="2" w:tplc="43801B5C" w:tentative="1">
      <w:start w:val="1"/>
      <w:numFmt w:val="bullet"/>
      <w:lvlText w:val="•"/>
      <w:lvlJc w:val="left"/>
      <w:pPr>
        <w:tabs>
          <w:tab w:val="num" w:pos="2160"/>
        </w:tabs>
        <w:ind w:left="2160" w:hanging="360"/>
      </w:pPr>
      <w:rPr>
        <w:rFonts w:ascii="Arial" w:hAnsi="Arial" w:hint="default"/>
      </w:rPr>
    </w:lvl>
    <w:lvl w:ilvl="3" w:tplc="F7DC5EA6" w:tentative="1">
      <w:start w:val="1"/>
      <w:numFmt w:val="bullet"/>
      <w:lvlText w:val="•"/>
      <w:lvlJc w:val="left"/>
      <w:pPr>
        <w:tabs>
          <w:tab w:val="num" w:pos="2880"/>
        </w:tabs>
        <w:ind w:left="2880" w:hanging="360"/>
      </w:pPr>
      <w:rPr>
        <w:rFonts w:ascii="Arial" w:hAnsi="Arial" w:hint="default"/>
      </w:rPr>
    </w:lvl>
    <w:lvl w:ilvl="4" w:tplc="9A6CA6F6" w:tentative="1">
      <w:start w:val="1"/>
      <w:numFmt w:val="bullet"/>
      <w:lvlText w:val="•"/>
      <w:lvlJc w:val="left"/>
      <w:pPr>
        <w:tabs>
          <w:tab w:val="num" w:pos="3600"/>
        </w:tabs>
        <w:ind w:left="3600" w:hanging="360"/>
      </w:pPr>
      <w:rPr>
        <w:rFonts w:ascii="Arial" w:hAnsi="Arial" w:hint="default"/>
      </w:rPr>
    </w:lvl>
    <w:lvl w:ilvl="5" w:tplc="BD1084D2" w:tentative="1">
      <w:start w:val="1"/>
      <w:numFmt w:val="bullet"/>
      <w:lvlText w:val="•"/>
      <w:lvlJc w:val="left"/>
      <w:pPr>
        <w:tabs>
          <w:tab w:val="num" w:pos="4320"/>
        </w:tabs>
        <w:ind w:left="4320" w:hanging="360"/>
      </w:pPr>
      <w:rPr>
        <w:rFonts w:ascii="Arial" w:hAnsi="Arial" w:hint="default"/>
      </w:rPr>
    </w:lvl>
    <w:lvl w:ilvl="6" w:tplc="0A6C5480" w:tentative="1">
      <w:start w:val="1"/>
      <w:numFmt w:val="bullet"/>
      <w:lvlText w:val="•"/>
      <w:lvlJc w:val="left"/>
      <w:pPr>
        <w:tabs>
          <w:tab w:val="num" w:pos="5040"/>
        </w:tabs>
        <w:ind w:left="5040" w:hanging="360"/>
      </w:pPr>
      <w:rPr>
        <w:rFonts w:ascii="Arial" w:hAnsi="Arial" w:hint="default"/>
      </w:rPr>
    </w:lvl>
    <w:lvl w:ilvl="7" w:tplc="371C7B84" w:tentative="1">
      <w:start w:val="1"/>
      <w:numFmt w:val="bullet"/>
      <w:lvlText w:val="•"/>
      <w:lvlJc w:val="left"/>
      <w:pPr>
        <w:tabs>
          <w:tab w:val="num" w:pos="5760"/>
        </w:tabs>
        <w:ind w:left="5760" w:hanging="360"/>
      </w:pPr>
      <w:rPr>
        <w:rFonts w:ascii="Arial" w:hAnsi="Arial" w:hint="default"/>
      </w:rPr>
    </w:lvl>
    <w:lvl w:ilvl="8" w:tplc="E9B2F01C" w:tentative="1">
      <w:start w:val="1"/>
      <w:numFmt w:val="bullet"/>
      <w:lvlText w:val="•"/>
      <w:lvlJc w:val="left"/>
      <w:pPr>
        <w:tabs>
          <w:tab w:val="num" w:pos="6480"/>
        </w:tabs>
        <w:ind w:left="6480" w:hanging="360"/>
      </w:pPr>
      <w:rPr>
        <w:rFonts w:ascii="Arial" w:hAnsi="Arial" w:hint="default"/>
      </w:rPr>
    </w:lvl>
  </w:abstractNum>
  <w:abstractNum w:abstractNumId="11">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5">
    <w:nsid w:val="6FDA3E96"/>
    <w:multiLevelType w:val="hybridMultilevel"/>
    <w:tmpl w:val="71D42EAA"/>
    <w:lvl w:ilvl="0" w:tplc="8B360CE8">
      <w:start w:val="1"/>
      <w:numFmt w:val="bullet"/>
      <w:lvlText w:val="•"/>
      <w:lvlJc w:val="left"/>
      <w:pPr>
        <w:tabs>
          <w:tab w:val="num" w:pos="720"/>
        </w:tabs>
        <w:ind w:left="720" w:hanging="360"/>
      </w:pPr>
      <w:rPr>
        <w:rFonts w:ascii="Arial" w:hAnsi="Arial" w:hint="default"/>
      </w:rPr>
    </w:lvl>
    <w:lvl w:ilvl="1" w:tplc="77C6669C" w:tentative="1">
      <w:start w:val="1"/>
      <w:numFmt w:val="bullet"/>
      <w:lvlText w:val="•"/>
      <w:lvlJc w:val="left"/>
      <w:pPr>
        <w:tabs>
          <w:tab w:val="num" w:pos="1440"/>
        </w:tabs>
        <w:ind w:left="1440" w:hanging="360"/>
      </w:pPr>
      <w:rPr>
        <w:rFonts w:ascii="Arial" w:hAnsi="Arial" w:hint="default"/>
      </w:rPr>
    </w:lvl>
    <w:lvl w:ilvl="2" w:tplc="F59A976C" w:tentative="1">
      <w:start w:val="1"/>
      <w:numFmt w:val="bullet"/>
      <w:lvlText w:val="•"/>
      <w:lvlJc w:val="left"/>
      <w:pPr>
        <w:tabs>
          <w:tab w:val="num" w:pos="2160"/>
        </w:tabs>
        <w:ind w:left="2160" w:hanging="360"/>
      </w:pPr>
      <w:rPr>
        <w:rFonts w:ascii="Arial" w:hAnsi="Arial" w:hint="default"/>
      </w:rPr>
    </w:lvl>
    <w:lvl w:ilvl="3" w:tplc="B330C0EC" w:tentative="1">
      <w:start w:val="1"/>
      <w:numFmt w:val="bullet"/>
      <w:lvlText w:val="•"/>
      <w:lvlJc w:val="left"/>
      <w:pPr>
        <w:tabs>
          <w:tab w:val="num" w:pos="2880"/>
        </w:tabs>
        <w:ind w:left="2880" w:hanging="360"/>
      </w:pPr>
      <w:rPr>
        <w:rFonts w:ascii="Arial" w:hAnsi="Arial" w:hint="default"/>
      </w:rPr>
    </w:lvl>
    <w:lvl w:ilvl="4" w:tplc="BF6AFDCC" w:tentative="1">
      <w:start w:val="1"/>
      <w:numFmt w:val="bullet"/>
      <w:lvlText w:val="•"/>
      <w:lvlJc w:val="left"/>
      <w:pPr>
        <w:tabs>
          <w:tab w:val="num" w:pos="3600"/>
        </w:tabs>
        <w:ind w:left="3600" w:hanging="360"/>
      </w:pPr>
      <w:rPr>
        <w:rFonts w:ascii="Arial" w:hAnsi="Arial" w:hint="default"/>
      </w:rPr>
    </w:lvl>
    <w:lvl w:ilvl="5" w:tplc="49000E84" w:tentative="1">
      <w:start w:val="1"/>
      <w:numFmt w:val="bullet"/>
      <w:lvlText w:val="•"/>
      <w:lvlJc w:val="left"/>
      <w:pPr>
        <w:tabs>
          <w:tab w:val="num" w:pos="4320"/>
        </w:tabs>
        <w:ind w:left="4320" w:hanging="360"/>
      </w:pPr>
      <w:rPr>
        <w:rFonts w:ascii="Arial" w:hAnsi="Arial" w:hint="default"/>
      </w:rPr>
    </w:lvl>
    <w:lvl w:ilvl="6" w:tplc="30B886E2" w:tentative="1">
      <w:start w:val="1"/>
      <w:numFmt w:val="bullet"/>
      <w:lvlText w:val="•"/>
      <w:lvlJc w:val="left"/>
      <w:pPr>
        <w:tabs>
          <w:tab w:val="num" w:pos="5040"/>
        </w:tabs>
        <w:ind w:left="5040" w:hanging="360"/>
      </w:pPr>
      <w:rPr>
        <w:rFonts w:ascii="Arial" w:hAnsi="Arial" w:hint="default"/>
      </w:rPr>
    </w:lvl>
    <w:lvl w:ilvl="7" w:tplc="26866B62" w:tentative="1">
      <w:start w:val="1"/>
      <w:numFmt w:val="bullet"/>
      <w:lvlText w:val="•"/>
      <w:lvlJc w:val="left"/>
      <w:pPr>
        <w:tabs>
          <w:tab w:val="num" w:pos="5760"/>
        </w:tabs>
        <w:ind w:left="5760" w:hanging="360"/>
      </w:pPr>
      <w:rPr>
        <w:rFonts w:ascii="Arial" w:hAnsi="Arial" w:hint="default"/>
      </w:rPr>
    </w:lvl>
    <w:lvl w:ilvl="8" w:tplc="1AEAF0B8" w:tentative="1">
      <w:start w:val="1"/>
      <w:numFmt w:val="bullet"/>
      <w:lvlText w:val="•"/>
      <w:lvlJc w:val="left"/>
      <w:pPr>
        <w:tabs>
          <w:tab w:val="num" w:pos="6480"/>
        </w:tabs>
        <w:ind w:left="6480" w:hanging="360"/>
      </w:pPr>
      <w:rPr>
        <w:rFonts w:ascii="Arial" w:hAnsi="Arial" w:hint="default"/>
      </w:rPr>
    </w:lvl>
  </w:abstractNum>
  <w:abstractNum w:abstractNumId="16">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abstractNum w:abstractNumId="17">
    <w:nsid w:val="7FD270C8"/>
    <w:multiLevelType w:val="hybridMultilevel"/>
    <w:tmpl w:val="0BA2ADAC"/>
    <w:lvl w:ilvl="0" w:tplc="357AD06A">
      <w:start w:val="1"/>
      <w:numFmt w:val="bullet"/>
      <w:lvlText w:val="•"/>
      <w:lvlJc w:val="left"/>
      <w:pPr>
        <w:tabs>
          <w:tab w:val="num" w:pos="720"/>
        </w:tabs>
        <w:ind w:left="720" w:hanging="360"/>
      </w:pPr>
      <w:rPr>
        <w:rFonts w:ascii="Arial" w:hAnsi="Arial" w:hint="default"/>
      </w:rPr>
    </w:lvl>
    <w:lvl w:ilvl="1" w:tplc="F47A9E6A" w:tentative="1">
      <w:start w:val="1"/>
      <w:numFmt w:val="bullet"/>
      <w:lvlText w:val="•"/>
      <w:lvlJc w:val="left"/>
      <w:pPr>
        <w:tabs>
          <w:tab w:val="num" w:pos="1440"/>
        </w:tabs>
        <w:ind w:left="1440" w:hanging="360"/>
      </w:pPr>
      <w:rPr>
        <w:rFonts w:ascii="Arial" w:hAnsi="Arial" w:hint="default"/>
      </w:rPr>
    </w:lvl>
    <w:lvl w:ilvl="2" w:tplc="CFC662F2" w:tentative="1">
      <w:start w:val="1"/>
      <w:numFmt w:val="bullet"/>
      <w:lvlText w:val="•"/>
      <w:lvlJc w:val="left"/>
      <w:pPr>
        <w:tabs>
          <w:tab w:val="num" w:pos="2160"/>
        </w:tabs>
        <w:ind w:left="2160" w:hanging="360"/>
      </w:pPr>
      <w:rPr>
        <w:rFonts w:ascii="Arial" w:hAnsi="Arial" w:hint="default"/>
      </w:rPr>
    </w:lvl>
    <w:lvl w:ilvl="3" w:tplc="39F8646C" w:tentative="1">
      <w:start w:val="1"/>
      <w:numFmt w:val="bullet"/>
      <w:lvlText w:val="•"/>
      <w:lvlJc w:val="left"/>
      <w:pPr>
        <w:tabs>
          <w:tab w:val="num" w:pos="2880"/>
        </w:tabs>
        <w:ind w:left="2880" w:hanging="360"/>
      </w:pPr>
      <w:rPr>
        <w:rFonts w:ascii="Arial" w:hAnsi="Arial" w:hint="default"/>
      </w:rPr>
    </w:lvl>
    <w:lvl w:ilvl="4" w:tplc="EEACE350" w:tentative="1">
      <w:start w:val="1"/>
      <w:numFmt w:val="bullet"/>
      <w:lvlText w:val="•"/>
      <w:lvlJc w:val="left"/>
      <w:pPr>
        <w:tabs>
          <w:tab w:val="num" w:pos="3600"/>
        </w:tabs>
        <w:ind w:left="3600" w:hanging="360"/>
      </w:pPr>
      <w:rPr>
        <w:rFonts w:ascii="Arial" w:hAnsi="Arial" w:hint="default"/>
      </w:rPr>
    </w:lvl>
    <w:lvl w:ilvl="5" w:tplc="06C28B38" w:tentative="1">
      <w:start w:val="1"/>
      <w:numFmt w:val="bullet"/>
      <w:lvlText w:val="•"/>
      <w:lvlJc w:val="left"/>
      <w:pPr>
        <w:tabs>
          <w:tab w:val="num" w:pos="4320"/>
        </w:tabs>
        <w:ind w:left="4320" w:hanging="360"/>
      </w:pPr>
      <w:rPr>
        <w:rFonts w:ascii="Arial" w:hAnsi="Arial" w:hint="default"/>
      </w:rPr>
    </w:lvl>
    <w:lvl w:ilvl="6" w:tplc="4B7C4FC4" w:tentative="1">
      <w:start w:val="1"/>
      <w:numFmt w:val="bullet"/>
      <w:lvlText w:val="•"/>
      <w:lvlJc w:val="left"/>
      <w:pPr>
        <w:tabs>
          <w:tab w:val="num" w:pos="5040"/>
        </w:tabs>
        <w:ind w:left="5040" w:hanging="360"/>
      </w:pPr>
      <w:rPr>
        <w:rFonts w:ascii="Arial" w:hAnsi="Arial" w:hint="default"/>
      </w:rPr>
    </w:lvl>
    <w:lvl w:ilvl="7" w:tplc="A230B458" w:tentative="1">
      <w:start w:val="1"/>
      <w:numFmt w:val="bullet"/>
      <w:lvlText w:val="•"/>
      <w:lvlJc w:val="left"/>
      <w:pPr>
        <w:tabs>
          <w:tab w:val="num" w:pos="5760"/>
        </w:tabs>
        <w:ind w:left="5760" w:hanging="360"/>
      </w:pPr>
      <w:rPr>
        <w:rFonts w:ascii="Arial" w:hAnsi="Arial" w:hint="default"/>
      </w:rPr>
    </w:lvl>
    <w:lvl w:ilvl="8" w:tplc="300817C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14"/>
  </w:num>
  <w:num w:numId="4">
    <w:abstractNumId w:val="3"/>
  </w:num>
  <w:num w:numId="5">
    <w:abstractNumId w:val="2"/>
  </w:num>
  <w:num w:numId="6">
    <w:abstractNumId w:val="1"/>
  </w:num>
  <w:num w:numId="7">
    <w:abstractNumId w:val="0"/>
  </w:num>
  <w:num w:numId="8">
    <w:abstractNumId w:val="13"/>
  </w:num>
  <w:num w:numId="9">
    <w:abstractNumId w:val="6"/>
  </w:num>
  <w:num w:numId="10">
    <w:abstractNumId w:val="16"/>
  </w:num>
  <w:num w:numId="11">
    <w:abstractNumId w:val="14"/>
  </w:num>
  <w:num w:numId="12">
    <w:abstractNumId w:val="14"/>
  </w:num>
  <w:num w:numId="13">
    <w:abstractNumId w:val="14"/>
  </w:num>
  <w:num w:numId="14">
    <w:abstractNumId w:val="14"/>
  </w:num>
  <w:num w:numId="15">
    <w:abstractNumId w:val="14"/>
  </w:num>
  <w:num w:numId="16">
    <w:abstractNumId w:val="8"/>
  </w:num>
  <w:num w:numId="17">
    <w:abstractNumId w:val="16"/>
  </w:num>
  <w:num w:numId="18">
    <w:abstractNumId w:val="16"/>
  </w:num>
  <w:num w:numId="19">
    <w:abstractNumId w:val="16"/>
  </w:num>
  <w:num w:numId="20">
    <w:abstractNumId w:val="16"/>
  </w:num>
  <w:num w:numId="21">
    <w:abstractNumId w:val="16"/>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9"/>
  </w:num>
  <w:num w:numId="37">
    <w:abstractNumId w:val="17"/>
  </w:num>
  <w:num w:numId="38">
    <w:abstractNumId w:val="10"/>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4517"/>
    <w:rsid w:val="00056DB6"/>
    <w:rsid w:val="000706A2"/>
    <w:rsid w:val="00077BFF"/>
    <w:rsid w:val="000A70ED"/>
    <w:rsid w:val="000B7CEC"/>
    <w:rsid w:val="000C49F7"/>
    <w:rsid w:val="000C511A"/>
    <w:rsid w:val="000C534C"/>
    <w:rsid w:val="000D1507"/>
    <w:rsid w:val="000D6614"/>
    <w:rsid w:val="000E431A"/>
    <w:rsid w:val="00116A26"/>
    <w:rsid w:val="0012268F"/>
    <w:rsid w:val="00133BCF"/>
    <w:rsid w:val="00163241"/>
    <w:rsid w:val="0016411F"/>
    <w:rsid w:val="0016774E"/>
    <w:rsid w:val="001807EE"/>
    <w:rsid w:val="00182744"/>
    <w:rsid w:val="001872D6"/>
    <w:rsid w:val="001A6147"/>
    <w:rsid w:val="001B5BAA"/>
    <w:rsid w:val="001B747C"/>
    <w:rsid w:val="001C394D"/>
    <w:rsid w:val="001E5ABB"/>
    <w:rsid w:val="001E7A4D"/>
    <w:rsid w:val="001F5D76"/>
    <w:rsid w:val="00203B33"/>
    <w:rsid w:val="00204EAE"/>
    <w:rsid w:val="0021638F"/>
    <w:rsid w:val="002175CB"/>
    <w:rsid w:val="0022027F"/>
    <w:rsid w:val="00221241"/>
    <w:rsid w:val="00253144"/>
    <w:rsid w:val="00262470"/>
    <w:rsid w:val="00265400"/>
    <w:rsid w:val="0027081D"/>
    <w:rsid w:val="00282128"/>
    <w:rsid w:val="002A5D4F"/>
    <w:rsid w:val="002B77B3"/>
    <w:rsid w:val="002C05E4"/>
    <w:rsid w:val="002E1AB6"/>
    <w:rsid w:val="002E3557"/>
    <w:rsid w:val="002F6AB2"/>
    <w:rsid w:val="002F6CB3"/>
    <w:rsid w:val="00317AD1"/>
    <w:rsid w:val="00324789"/>
    <w:rsid w:val="00324B88"/>
    <w:rsid w:val="003275FC"/>
    <w:rsid w:val="00356744"/>
    <w:rsid w:val="003603A1"/>
    <w:rsid w:val="00380994"/>
    <w:rsid w:val="00382047"/>
    <w:rsid w:val="00386CEE"/>
    <w:rsid w:val="003929BD"/>
    <w:rsid w:val="003A0BCE"/>
    <w:rsid w:val="003B7A63"/>
    <w:rsid w:val="003C27FE"/>
    <w:rsid w:val="003D1D5D"/>
    <w:rsid w:val="00407116"/>
    <w:rsid w:val="00413B84"/>
    <w:rsid w:val="0041506E"/>
    <w:rsid w:val="004158D7"/>
    <w:rsid w:val="00432025"/>
    <w:rsid w:val="00432594"/>
    <w:rsid w:val="00451F82"/>
    <w:rsid w:val="00453792"/>
    <w:rsid w:val="004628E4"/>
    <w:rsid w:val="00465BE4"/>
    <w:rsid w:val="004676E1"/>
    <w:rsid w:val="00470F72"/>
    <w:rsid w:val="004A6B04"/>
    <w:rsid w:val="004B1583"/>
    <w:rsid w:val="004B210E"/>
    <w:rsid w:val="004B5DBB"/>
    <w:rsid w:val="004E33CC"/>
    <w:rsid w:val="004E6239"/>
    <w:rsid w:val="00522321"/>
    <w:rsid w:val="00524C68"/>
    <w:rsid w:val="00533745"/>
    <w:rsid w:val="0055123F"/>
    <w:rsid w:val="00563C4E"/>
    <w:rsid w:val="0057450D"/>
    <w:rsid w:val="00581FA3"/>
    <w:rsid w:val="00584EAD"/>
    <w:rsid w:val="005865F5"/>
    <w:rsid w:val="005A1925"/>
    <w:rsid w:val="005A281B"/>
    <w:rsid w:val="005A4642"/>
    <w:rsid w:val="005B1FCC"/>
    <w:rsid w:val="005B4175"/>
    <w:rsid w:val="005E1ABB"/>
    <w:rsid w:val="005E5705"/>
    <w:rsid w:val="005F3C60"/>
    <w:rsid w:val="005F53EE"/>
    <w:rsid w:val="00614D7E"/>
    <w:rsid w:val="00617F55"/>
    <w:rsid w:val="0063340E"/>
    <w:rsid w:val="00647A4F"/>
    <w:rsid w:val="00673988"/>
    <w:rsid w:val="00677B21"/>
    <w:rsid w:val="00697DB1"/>
    <w:rsid w:val="006B2D44"/>
    <w:rsid w:val="006C637E"/>
    <w:rsid w:val="006E3618"/>
    <w:rsid w:val="00704DFC"/>
    <w:rsid w:val="007152CC"/>
    <w:rsid w:val="00722296"/>
    <w:rsid w:val="007334F4"/>
    <w:rsid w:val="00733B90"/>
    <w:rsid w:val="0074617A"/>
    <w:rsid w:val="00753E7D"/>
    <w:rsid w:val="00781882"/>
    <w:rsid w:val="00787DD5"/>
    <w:rsid w:val="007A0146"/>
    <w:rsid w:val="007A06F7"/>
    <w:rsid w:val="007A1916"/>
    <w:rsid w:val="007C5289"/>
    <w:rsid w:val="007C5C86"/>
    <w:rsid w:val="007D0BC7"/>
    <w:rsid w:val="007E2163"/>
    <w:rsid w:val="007E23ED"/>
    <w:rsid w:val="007F034C"/>
    <w:rsid w:val="00854099"/>
    <w:rsid w:val="00866F90"/>
    <w:rsid w:val="00881C6B"/>
    <w:rsid w:val="00886F29"/>
    <w:rsid w:val="008A14C6"/>
    <w:rsid w:val="008B6066"/>
    <w:rsid w:val="008C2BC0"/>
    <w:rsid w:val="008C5FFE"/>
    <w:rsid w:val="008C6097"/>
    <w:rsid w:val="009229D0"/>
    <w:rsid w:val="00953661"/>
    <w:rsid w:val="00975E61"/>
    <w:rsid w:val="009870F4"/>
    <w:rsid w:val="009B10BB"/>
    <w:rsid w:val="009E29CD"/>
    <w:rsid w:val="009E7CEF"/>
    <w:rsid w:val="00A10D03"/>
    <w:rsid w:val="00A112E7"/>
    <w:rsid w:val="00A15613"/>
    <w:rsid w:val="00A207E9"/>
    <w:rsid w:val="00A241F4"/>
    <w:rsid w:val="00A330C0"/>
    <w:rsid w:val="00A37572"/>
    <w:rsid w:val="00A44634"/>
    <w:rsid w:val="00A5372F"/>
    <w:rsid w:val="00A561D4"/>
    <w:rsid w:val="00A601FE"/>
    <w:rsid w:val="00A60D90"/>
    <w:rsid w:val="00A669E1"/>
    <w:rsid w:val="00A670BE"/>
    <w:rsid w:val="00A77974"/>
    <w:rsid w:val="00A86E07"/>
    <w:rsid w:val="00A94015"/>
    <w:rsid w:val="00A95799"/>
    <w:rsid w:val="00AA53DB"/>
    <w:rsid w:val="00AA6529"/>
    <w:rsid w:val="00AD1C4B"/>
    <w:rsid w:val="00AF4C5F"/>
    <w:rsid w:val="00B06C8C"/>
    <w:rsid w:val="00B4385D"/>
    <w:rsid w:val="00B51FA3"/>
    <w:rsid w:val="00B622F0"/>
    <w:rsid w:val="00B66B5F"/>
    <w:rsid w:val="00BA3329"/>
    <w:rsid w:val="00BC4F56"/>
    <w:rsid w:val="00BD7EEE"/>
    <w:rsid w:val="00BF5D04"/>
    <w:rsid w:val="00BF6AC1"/>
    <w:rsid w:val="00C0462C"/>
    <w:rsid w:val="00C06B94"/>
    <w:rsid w:val="00C1069D"/>
    <w:rsid w:val="00C275C9"/>
    <w:rsid w:val="00C66DA1"/>
    <w:rsid w:val="00C905B6"/>
    <w:rsid w:val="00C97C18"/>
    <w:rsid w:val="00CC57C9"/>
    <w:rsid w:val="00CD0A11"/>
    <w:rsid w:val="00CE03BE"/>
    <w:rsid w:val="00CE1F7E"/>
    <w:rsid w:val="00CE56BD"/>
    <w:rsid w:val="00CE7598"/>
    <w:rsid w:val="00D05BF0"/>
    <w:rsid w:val="00D12303"/>
    <w:rsid w:val="00D23C2E"/>
    <w:rsid w:val="00D37C08"/>
    <w:rsid w:val="00D430A8"/>
    <w:rsid w:val="00D52424"/>
    <w:rsid w:val="00D54C21"/>
    <w:rsid w:val="00D66283"/>
    <w:rsid w:val="00D70659"/>
    <w:rsid w:val="00D80630"/>
    <w:rsid w:val="00D87652"/>
    <w:rsid w:val="00D95359"/>
    <w:rsid w:val="00DA7970"/>
    <w:rsid w:val="00DC532B"/>
    <w:rsid w:val="00DC7376"/>
    <w:rsid w:val="00DD406D"/>
    <w:rsid w:val="00DF560B"/>
    <w:rsid w:val="00E15063"/>
    <w:rsid w:val="00E1738C"/>
    <w:rsid w:val="00E30EBC"/>
    <w:rsid w:val="00E52883"/>
    <w:rsid w:val="00E538CA"/>
    <w:rsid w:val="00E75308"/>
    <w:rsid w:val="00E7632B"/>
    <w:rsid w:val="00E805C4"/>
    <w:rsid w:val="00E855BB"/>
    <w:rsid w:val="00E9379C"/>
    <w:rsid w:val="00E95EC4"/>
    <w:rsid w:val="00EA1A60"/>
    <w:rsid w:val="00EA4506"/>
    <w:rsid w:val="00EC73CA"/>
    <w:rsid w:val="00ED090B"/>
    <w:rsid w:val="00F01893"/>
    <w:rsid w:val="00F16843"/>
    <w:rsid w:val="00F2174E"/>
    <w:rsid w:val="00F43876"/>
    <w:rsid w:val="00F53973"/>
    <w:rsid w:val="00F5748A"/>
    <w:rsid w:val="00F63846"/>
    <w:rsid w:val="00F72EBD"/>
    <w:rsid w:val="00F82B5C"/>
    <w:rsid w:val="00F84F59"/>
    <w:rsid w:val="00F90E71"/>
    <w:rsid w:val="00F9631F"/>
    <w:rsid w:val="00FA2046"/>
    <w:rsid w:val="00FA5ACD"/>
    <w:rsid w:val="00FB00C8"/>
    <w:rsid w:val="00FB2412"/>
    <w:rsid w:val="00FB2E09"/>
    <w:rsid w:val="00FB301F"/>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1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nhideWhenUsed="0" w:qFormat="1"/>
    <w:lsdException w:name="Hyperlink" w:semiHidden="0" w:uiPriority="13" w:unhideWhenUsed="0"/>
    <w:lsdException w:name="Strong" w:semiHidden="0" w:unhideWhenUsed="0" w:qFormat="1"/>
    <w:lsdException w:name="Emphasis" w:semiHidden="0" w:uiPriority="11"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 w:type="paragraph" w:customStyle="1" w:styleId="FlietextStandard">
    <w:name w:val="Fließtext Standard"/>
    <w:basedOn w:val="Standard"/>
    <w:link w:val="FlietextStandardZchn"/>
    <w:uiPriority w:val="10"/>
    <w:qFormat/>
    <w:rsid w:val="005A464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de-DE"/>
    </w:rPr>
  </w:style>
  <w:style w:type="character" w:customStyle="1" w:styleId="FlietextStandardZchn">
    <w:name w:val="Fließtext Standard Zchn"/>
    <w:link w:val="FlietextStandard"/>
    <w:uiPriority w:val="10"/>
    <w:locked/>
    <w:rsid w:val="005A4642"/>
    <w:rPr>
      <w:rFonts w:ascii="Arial" w:eastAsia="Times New Roman" w:hAnsi="Arial" w:cs="Times New Roman"/>
      <w:color w:val="0A0A0A"/>
      <w:sz w:val="20"/>
      <w:szCs w:val="20"/>
      <w:lang w:val="de-DE"/>
    </w:rPr>
  </w:style>
  <w:style w:type="paragraph" w:styleId="StandardWeb">
    <w:name w:val="Normal (Web)"/>
    <w:basedOn w:val="Standard"/>
    <w:uiPriority w:val="99"/>
    <w:semiHidden/>
    <w:unhideWhenUsed/>
    <w:rsid w:val="00FB301F"/>
    <w:pPr>
      <w:spacing w:before="100" w:beforeAutospacing="1" w:afterLines="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nhideWhenUsed="0" w:qFormat="1"/>
    <w:lsdException w:name="Hyperlink" w:semiHidden="0" w:uiPriority="13" w:unhideWhenUsed="0"/>
    <w:lsdException w:name="Strong" w:semiHidden="0" w:unhideWhenUsed="0" w:qFormat="1"/>
    <w:lsdException w:name="Emphasis" w:semiHidden="0" w:uiPriority="11"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 w:type="paragraph" w:customStyle="1" w:styleId="FlietextStandard">
    <w:name w:val="Fließtext Standard"/>
    <w:basedOn w:val="Standard"/>
    <w:link w:val="FlietextStandardZchn"/>
    <w:uiPriority w:val="10"/>
    <w:qFormat/>
    <w:rsid w:val="005A464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de-DE"/>
    </w:rPr>
  </w:style>
  <w:style w:type="character" w:customStyle="1" w:styleId="FlietextStandardZchn">
    <w:name w:val="Fließtext Standard Zchn"/>
    <w:link w:val="FlietextStandard"/>
    <w:uiPriority w:val="10"/>
    <w:locked/>
    <w:rsid w:val="005A4642"/>
    <w:rPr>
      <w:rFonts w:ascii="Arial" w:eastAsia="Times New Roman" w:hAnsi="Arial" w:cs="Times New Roman"/>
      <w:color w:val="0A0A0A"/>
      <w:sz w:val="20"/>
      <w:szCs w:val="20"/>
      <w:lang w:val="de-DE"/>
    </w:rPr>
  </w:style>
  <w:style w:type="paragraph" w:styleId="StandardWeb">
    <w:name w:val="Normal (Web)"/>
    <w:basedOn w:val="Standard"/>
    <w:uiPriority w:val="99"/>
    <w:semiHidden/>
    <w:unhideWhenUsed/>
    <w:rsid w:val="00FB301F"/>
    <w:pPr>
      <w:spacing w:before="100" w:beforeAutospacing="1" w:afterLines="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8124">
      <w:bodyDiv w:val="1"/>
      <w:marLeft w:val="0"/>
      <w:marRight w:val="0"/>
      <w:marTop w:val="0"/>
      <w:marBottom w:val="0"/>
      <w:divBdr>
        <w:top w:val="none" w:sz="0" w:space="0" w:color="auto"/>
        <w:left w:val="none" w:sz="0" w:space="0" w:color="auto"/>
        <w:bottom w:val="none" w:sz="0" w:space="0" w:color="auto"/>
        <w:right w:val="none" w:sz="0" w:space="0" w:color="auto"/>
      </w:divBdr>
    </w:div>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 w:id="1067074912">
      <w:bodyDiv w:val="1"/>
      <w:marLeft w:val="0"/>
      <w:marRight w:val="0"/>
      <w:marTop w:val="0"/>
      <w:marBottom w:val="0"/>
      <w:divBdr>
        <w:top w:val="none" w:sz="0" w:space="0" w:color="auto"/>
        <w:left w:val="none" w:sz="0" w:space="0" w:color="auto"/>
        <w:bottom w:val="none" w:sz="0" w:space="0" w:color="auto"/>
        <w:right w:val="none" w:sz="0" w:space="0" w:color="auto"/>
      </w:divBdr>
      <w:divsChild>
        <w:div w:id="875774912">
          <w:marLeft w:val="0"/>
          <w:marRight w:val="0"/>
          <w:marTop w:val="0"/>
          <w:marBottom w:val="0"/>
          <w:divBdr>
            <w:top w:val="none" w:sz="0" w:space="0" w:color="auto"/>
            <w:left w:val="none" w:sz="0" w:space="0" w:color="auto"/>
            <w:bottom w:val="none" w:sz="0" w:space="0" w:color="auto"/>
            <w:right w:val="none" w:sz="0" w:space="0" w:color="auto"/>
          </w:divBdr>
          <w:divsChild>
            <w:div w:id="394746894">
              <w:marLeft w:val="0"/>
              <w:marRight w:val="0"/>
              <w:marTop w:val="0"/>
              <w:marBottom w:val="0"/>
              <w:divBdr>
                <w:top w:val="none" w:sz="0" w:space="0" w:color="auto"/>
                <w:left w:val="none" w:sz="0" w:space="0" w:color="auto"/>
                <w:bottom w:val="none" w:sz="0" w:space="0" w:color="auto"/>
                <w:right w:val="none" w:sz="0" w:space="0" w:color="auto"/>
              </w:divBdr>
              <w:divsChild>
                <w:div w:id="1869028171">
                  <w:marLeft w:val="-240"/>
                  <w:marRight w:val="-240"/>
                  <w:marTop w:val="0"/>
                  <w:marBottom w:val="0"/>
                  <w:divBdr>
                    <w:top w:val="none" w:sz="0" w:space="0" w:color="auto"/>
                    <w:left w:val="none" w:sz="0" w:space="0" w:color="auto"/>
                    <w:bottom w:val="none" w:sz="0" w:space="0" w:color="auto"/>
                    <w:right w:val="none" w:sz="0" w:space="0" w:color="auto"/>
                  </w:divBdr>
                  <w:divsChild>
                    <w:div w:id="2039431469">
                      <w:marLeft w:val="0"/>
                      <w:marRight w:val="0"/>
                      <w:marTop w:val="0"/>
                      <w:marBottom w:val="0"/>
                      <w:divBdr>
                        <w:top w:val="none" w:sz="0" w:space="0" w:color="auto"/>
                        <w:left w:val="none" w:sz="0" w:space="0" w:color="auto"/>
                        <w:bottom w:val="none" w:sz="0" w:space="0" w:color="auto"/>
                        <w:right w:val="none" w:sz="0" w:space="0" w:color="auto"/>
                      </w:divBdr>
                      <w:divsChild>
                        <w:div w:id="1504586933">
                          <w:marLeft w:val="0"/>
                          <w:marRight w:val="0"/>
                          <w:marTop w:val="0"/>
                          <w:marBottom w:val="0"/>
                          <w:divBdr>
                            <w:top w:val="none" w:sz="0" w:space="0" w:color="auto"/>
                            <w:left w:val="none" w:sz="0" w:space="0" w:color="auto"/>
                            <w:bottom w:val="none" w:sz="0" w:space="0" w:color="auto"/>
                            <w:right w:val="none" w:sz="0" w:space="0" w:color="auto"/>
                          </w:divBdr>
                        </w:div>
                        <w:div w:id="1193617337">
                          <w:marLeft w:val="0"/>
                          <w:marRight w:val="0"/>
                          <w:marTop w:val="0"/>
                          <w:marBottom w:val="0"/>
                          <w:divBdr>
                            <w:top w:val="none" w:sz="0" w:space="0" w:color="auto"/>
                            <w:left w:val="none" w:sz="0" w:space="0" w:color="auto"/>
                            <w:bottom w:val="none" w:sz="0" w:space="0" w:color="auto"/>
                            <w:right w:val="none" w:sz="0" w:space="0" w:color="auto"/>
                          </w:divBdr>
                          <w:divsChild>
                            <w:div w:id="1905528308">
                              <w:marLeft w:val="165"/>
                              <w:marRight w:val="165"/>
                              <w:marTop w:val="0"/>
                              <w:marBottom w:val="0"/>
                              <w:divBdr>
                                <w:top w:val="none" w:sz="0" w:space="0" w:color="auto"/>
                                <w:left w:val="none" w:sz="0" w:space="0" w:color="auto"/>
                                <w:bottom w:val="none" w:sz="0" w:space="0" w:color="auto"/>
                                <w:right w:val="none" w:sz="0" w:space="0" w:color="auto"/>
                              </w:divBdr>
                              <w:divsChild>
                                <w:div w:id="1287197303">
                                  <w:marLeft w:val="0"/>
                                  <w:marRight w:val="0"/>
                                  <w:marTop w:val="0"/>
                                  <w:marBottom w:val="0"/>
                                  <w:divBdr>
                                    <w:top w:val="none" w:sz="0" w:space="0" w:color="auto"/>
                                    <w:left w:val="none" w:sz="0" w:space="0" w:color="auto"/>
                                    <w:bottom w:val="none" w:sz="0" w:space="0" w:color="auto"/>
                                    <w:right w:val="none" w:sz="0" w:space="0" w:color="auto"/>
                                  </w:divBdr>
                                  <w:divsChild>
                                    <w:div w:id="10710775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445636">
      <w:bodyDiv w:val="1"/>
      <w:marLeft w:val="0"/>
      <w:marRight w:val="0"/>
      <w:marTop w:val="0"/>
      <w:marBottom w:val="0"/>
      <w:divBdr>
        <w:top w:val="none" w:sz="0" w:space="0" w:color="auto"/>
        <w:left w:val="none" w:sz="0" w:space="0" w:color="auto"/>
        <w:bottom w:val="none" w:sz="0" w:space="0" w:color="auto"/>
        <w:right w:val="none" w:sz="0" w:space="0" w:color="auto"/>
      </w:divBdr>
    </w:div>
    <w:div w:id="1319111189">
      <w:bodyDiv w:val="1"/>
      <w:marLeft w:val="0"/>
      <w:marRight w:val="0"/>
      <w:marTop w:val="0"/>
      <w:marBottom w:val="0"/>
      <w:divBdr>
        <w:top w:val="none" w:sz="0" w:space="0" w:color="auto"/>
        <w:left w:val="none" w:sz="0" w:space="0" w:color="auto"/>
        <w:bottom w:val="none" w:sz="0" w:space="0" w:color="auto"/>
        <w:right w:val="none" w:sz="0" w:space="0" w:color="auto"/>
      </w:divBdr>
      <w:divsChild>
        <w:div w:id="652955255">
          <w:marLeft w:val="360"/>
          <w:marRight w:val="0"/>
          <w:marTop w:val="200"/>
          <w:marBottom w:val="0"/>
          <w:divBdr>
            <w:top w:val="none" w:sz="0" w:space="0" w:color="auto"/>
            <w:left w:val="none" w:sz="0" w:space="0" w:color="auto"/>
            <w:bottom w:val="none" w:sz="0" w:space="0" w:color="auto"/>
            <w:right w:val="none" w:sz="0" w:space="0" w:color="auto"/>
          </w:divBdr>
        </w:div>
      </w:divsChild>
    </w:div>
    <w:div w:id="1903827078">
      <w:bodyDiv w:val="1"/>
      <w:marLeft w:val="0"/>
      <w:marRight w:val="0"/>
      <w:marTop w:val="0"/>
      <w:marBottom w:val="0"/>
      <w:divBdr>
        <w:top w:val="none" w:sz="0" w:space="0" w:color="auto"/>
        <w:left w:val="none" w:sz="0" w:space="0" w:color="auto"/>
        <w:bottom w:val="none" w:sz="0" w:space="0" w:color="auto"/>
        <w:right w:val="none" w:sz="0" w:space="0" w:color="auto"/>
      </w:divBdr>
      <w:divsChild>
        <w:div w:id="1818837046">
          <w:marLeft w:val="360"/>
          <w:marRight w:val="0"/>
          <w:marTop w:val="200"/>
          <w:marBottom w:val="0"/>
          <w:divBdr>
            <w:top w:val="none" w:sz="0" w:space="0" w:color="auto"/>
            <w:left w:val="none" w:sz="0" w:space="0" w:color="auto"/>
            <w:bottom w:val="none" w:sz="0" w:space="0" w:color="auto"/>
            <w:right w:val="none" w:sz="0" w:space="0" w:color="auto"/>
          </w:divBdr>
        </w:div>
      </w:divsChild>
    </w:div>
    <w:div w:id="2032754177">
      <w:bodyDiv w:val="1"/>
      <w:marLeft w:val="0"/>
      <w:marRight w:val="0"/>
      <w:marTop w:val="0"/>
      <w:marBottom w:val="0"/>
      <w:divBdr>
        <w:top w:val="none" w:sz="0" w:space="0" w:color="auto"/>
        <w:left w:val="none" w:sz="0" w:space="0" w:color="auto"/>
        <w:bottom w:val="none" w:sz="0" w:space="0" w:color="auto"/>
        <w:right w:val="none" w:sz="0" w:space="0" w:color="auto"/>
      </w:divBdr>
      <w:divsChild>
        <w:div w:id="1968781059">
          <w:marLeft w:val="360"/>
          <w:marRight w:val="0"/>
          <w:marTop w:val="200"/>
          <w:marBottom w:val="0"/>
          <w:divBdr>
            <w:top w:val="none" w:sz="0" w:space="0" w:color="auto"/>
            <w:left w:val="none" w:sz="0" w:space="0" w:color="auto"/>
            <w:bottom w:val="none" w:sz="0" w:space="0" w:color="auto"/>
            <w:right w:val="none" w:sz="0" w:space="0" w:color="auto"/>
          </w:divBdr>
        </w:div>
      </w:divsChild>
    </w:div>
    <w:div w:id="2063866981">
      <w:bodyDiv w:val="1"/>
      <w:marLeft w:val="0"/>
      <w:marRight w:val="0"/>
      <w:marTop w:val="0"/>
      <w:marBottom w:val="0"/>
      <w:divBdr>
        <w:top w:val="none" w:sz="0" w:space="0" w:color="auto"/>
        <w:left w:val="none" w:sz="0" w:space="0" w:color="auto"/>
        <w:bottom w:val="none" w:sz="0" w:space="0" w:color="auto"/>
        <w:right w:val="none" w:sz="0" w:space="0" w:color="auto"/>
      </w:divBdr>
      <w:divsChild>
        <w:div w:id="2357528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bernd.heusin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9FE7-B403-400E-9C5C-6DECD5DC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Koenig &amp; Bauer publishes its H1 report 2020</vt:lpstr>
    </vt:vector>
  </TitlesOfParts>
  <Company>Koenig &amp; Bauer</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publishes its H1 report 2020</dc:title>
  <dc:creator>Bausenwein, Linda (ZM)</dc:creator>
  <dc:description>Optimiert für Word 2016</dc:description>
  <cp:lastModifiedBy>Heusinger, Bernd (VMV)</cp:lastModifiedBy>
  <cp:revision>9</cp:revision>
  <cp:lastPrinted>2019-07-29T12:25:00Z</cp:lastPrinted>
  <dcterms:created xsi:type="dcterms:W3CDTF">2020-07-09T08:32:00Z</dcterms:created>
  <dcterms:modified xsi:type="dcterms:W3CDTF">2020-07-27T06:27:00Z</dcterms:modified>
</cp:coreProperties>
</file>